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jc w:val="center"/>
        <w:pageBreakBefore w:val="0"/>
        <w:spacing w:before="1440" w:after="100" w:afterAutospacing="1" w:line="360" w:lineRule="auto"/>
        <w:rPr>
          <w:rFonts w:hint="eastAsia" w:ascii="仿宋" w:hAnsi="仿宋" w:eastAsia="仿宋" w:cs="仿宋"/>
          <w:color w:val="000000" w:themeColor="text1"/>
          <w:sz w:val="32"/>
          <w:szCs w:val="32"/>
          <w:highlight w:val="none"/>
          <w14:textFill>
            <w14:solidFill>
              <w14:schemeClr w14:val="tx1"/>
            </w14:solidFill>
          </w14:textFill>
        </w:rPr>
        <w:outlineLvl w:val="0"/>
      </w:pPr>
      <w:r/>
      <w:bookmarkStart w:id="0" w:name="_Toc9547"/>
      <w:r/>
      <w:bookmarkStart w:id="1" w:name="_Toc26972"/>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 xml:space="preserve">竞争性磋商文件</w:t>
      </w:r>
      <w:bookmarkEnd w:id="0"/>
      <w:r/>
      <w:bookmarkEnd w:id="1"/>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p>
    <w:p>
      <w:pPr>
        <w:pStyle w:val="726"/>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735"/>
        <w:rPr>
          <w:rFonts w:hint="eastAsia" w:ascii="仿宋" w:hAnsi="仿宋" w:eastAsia="仿宋" w:cs="仿宋"/>
          <w:highlight w:val="none"/>
        </w:rPr>
      </w:pPr>
      <w:r>
        <w:rPr>
          <w:rFonts w:hint="eastAsia" w:ascii="仿宋" w:hAnsi="仿宋" w:eastAsia="仿宋" w:cs="仿宋"/>
          <w:highlight w:val="none"/>
        </w:rPr>
      </w:r>
      <w:r/>
    </w:p>
    <w:p>
      <w:pPr>
        <w:pStyle w:val="726"/>
        <w:rPr>
          <w:rFonts w:hint="eastAsia" w:ascii="仿宋" w:hAnsi="仿宋" w:eastAsia="仿宋" w:cs="仿宋"/>
          <w:highlight w:val="none"/>
        </w:rPr>
      </w:pPr>
      <w:r>
        <w:rPr>
          <w:rFonts w:hint="eastAsia" w:ascii="仿宋" w:hAnsi="仿宋" w:eastAsia="仿宋" w:cs="仿宋"/>
          <w:highlight w:val="none"/>
        </w:rPr>
      </w:r>
      <w:r/>
    </w:p>
    <w:p>
      <w:pPr>
        <w:pStyle w:val="735"/>
        <w:rPr>
          <w:rFonts w:hint="eastAsia" w:ascii="仿宋" w:hAnsi="仿宋" w:eastAsia="仿宋" w:cs="仿宋"/>
          <w:highlight w:val="none"/>
        </w:rPr>
      </w:pPr>
      <w:r>
        <w:rPr>
          <w:rFonts w:hint="eastAsia" w:ascii="仿宋" w:hAnsi="仿宋" w:eastAsia="仿宋" w:cs="仿宋"/>
          <w:highlight w:val="none"/>
        </w:rPr>
      </w:r>
      <w:r/>
    </w:p>
    <w:p>
      <w:pPr>
        <w:pStyle w:val="736"/>
        <w:rPr>
          <w:rFonts w:hint="eastAsia" w:ascii="仿宋" w:hAnsi="仿宋" w:eastAsia="仿宋" w:cs="仿宋"/>
          <w:highlight w:val="none"/>
        </w:rPr>
      </w:pPr>
      <w:r>
        <w:rPr>
          <w:rFonts w:hint="eastAsia" w:ascii="仿宋" w:hAnsi="仿宋" w:eastAsia="仿宋" w:cs="仿宋"/>
          <w:highlight w:val="none"/>
        </w:rPr>
      </w:r>
      <w:r/>
    </w:p>
    <w:p>
      <w:pPr>
        <w:pStyle w:val="726"/>
        <w:rPr>
          <w:rFonts w:hint="eastAsia" w:ascii="仿宋" w:hAnsi="仿宋" w:eastAsia="仿宋" w:cs="仿宋"/>
          <w:highlight w:val="none"/>
        </w:rPr>
      </w:pPr>
      <w:r>
        <w:rPr>
          <w:rFonts w:hint="eastAsia" w:ascii="仿宋" w:hAnsi="仿宋" w:eastAsia="仿宋" w:cs="仿宋"/>
          <w:highlight w:val="none"/>
        </w:rPr>
      </w:r>
      <w:r/>
    </w:p>
    <w:p>
      <w:pPr>
        <w:pStyle w:val="735"/>
        <w:rPr>
          <w:rFonts w:hint="eastAsia" w:ascii="仿宋" w:hAnsi="仿宋" w:eastAsia="仿宋" w:cs="仿宋"/>
          <w:highlight w:val="none"/>
        </w:rPr>
      </w:pPr>
      <w:r>
        <w:rPr>
          <w:rFonts w:hint="eastAsia" w:ascii="仿宋" w:hAnsi="仿宋" w:eastAsia="仿宋" w:cs="仿宋"/>
          <w:highlight w:val="none"/>
        </w:rPr>
      </w:r>
      <w:r/>
    </w:p>
    <w:p>
      <w:pPr>
        <w:pStyle w:val="736"/>
        <w:rPr>
          <w:rFonts w:hint="eastAsia" w:ascii="仿宋" w:hAnsi="仿宋" w:eastAsia="仿宋" w:cs="仿宋"/>
          <w:highlight w:val="none"/>
        </w:rPr>
      </w:pPr>
      <w:r>
        <w:rPr>
          <w:rFonts w:hint="eastAsia" w:ascii="仿宋" w:hAnsi="仿宋" w:eastAsia="仿宋" w:cs="仿宋"/>
          <w:highlight w:val="none"/>
        </w:rPr>
      </w:r>
      <w:r/>
    </w:p>
    <w:p>
      <w:pPr>
        <w:pStyle w:val="726"/>
        <w:rPr>
          <w:rFonts w:hint="eastAsia" w:ascii="仿宋" w:hAnsi="仿宋" w:eastAsia="仿宋" w:cs="仿宋"/>
          <w:highlight w:val="none"/>
        </w:rPr>
      </w:pPr>
      <w:r>
        <w:rPr>
          <w:rFonts w:hint="eastAsia" w:ascii="仿宋" w:hAnsi="仿宋" w:eastAsia="仿宋" w:cs="仿宋"/>
          <w:highlight w:val="none"/>
        </w:rPr>
      </w:r>
      <w:r/>
    </w:p>
    <w:p>
      <w:pPr>
        <w:pStyle w:val="735"/>
        <w:rPr>
          <w:rFonts w:hint="eastAsia" w:ascii="仿宋" w:hAnsi="仿宋" w:eastAsia="仿宋" w:cs="仿宋"/>
          <w:highlight w:val="none"/>
        </w:rPr>
      </w:pPr>
      <w:r>
        <w:rPr>
          <w:rFonts w:hint="eastAsia" w:ascii="仿宋" w:hAnsi="仿宋" w:eastAsia="仿宋" w:cs="仿宋"/>
          <w:highlight w:val="none"/>
        </w:rPr>
      </w:r>
      <w:r/>
    </w:p>
    <w:p>
      <w:pPr>
        <w:pStyle w:val="728"/>
        <w:jc w:val="left"/>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728"/>
        <w:ind w:firstLine="301"/>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项目编号：</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JSZC-320381-ZHYB-C2026-0003</w:t>
      </w:r>
      <w:r/>
    </w:p>
    <w:p>
      <w:pPr>
        <w:pStyle w:val="728"/>
        <w:ind w:left="1806" w:hanging="1506"/>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项目名称：</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临沭路口袋公园工程项目</w:t>
      </w:r>
      <w:r/>
    </w:p>
    <w:p>
      <w:pPr>
        <w:pStyle w:val="728"/>
        <w:ind w:firstLine="301"/>
        <w:jc w:val="left"/>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2" w:name="_Toc14550"/>
      <w:r/>
      <w:bookmarkStart w:id="3" w:name="_Toc13701"/>
      <w:r>
        <w:rPr>
          <w:rFonts w:hint="eastAsia" w:ascii="仿宋" w:hAnsi="仿宋" w:eastAsia="仿宋" w:cs="仿宋"/>
          <w:b/>
          <w:bCs/>
          <w:color w:val="000000" w:themeColor="text1"/>
          <w:sz w:val="30"/>
          <w:szCs w:val="30"/>
          <w:highlight w:val="none"/>
          <w14:textFill>
            <w14:solidFill>
              <w14:schemeClr w14:val="tx1"/>
            </w14:solidFill>
          </w14:textFill>
        </w:rPr>
        <w:t xml:space="preserve">采购单位：</w:t>
      </w:r>
      <w:bookmarkEnd w:id="2"/>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新沂市住房和城乡建设局</w:t>
      </w:r>
      <w:bookmarkEnd w:id="3"/>
      <w:r/>
      <w:r/>
    </w:p>
    <w:p>
      <w:pPr>
        <w:pStyle w:val="734"/>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23"/>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32"/>
        <w:rPr>
          <w:rFonts w:hint="eastAsia"/>
          <w:highlight w:val="none"/>
          <w:lang w:eastAsia="zh-CN"/>
        </w:rPr>
      </w:pPr>
      <w:r>
        <w:rPr>
          <w:rFonts w:hint="eastAsia"/>
          <w:highlight w:val="none"/>
          <w:lang w:eastAsia="zh-CN"/>
        </w:rPr>
      </w:r>
      <w:r/>
    </w:p>
    <w:p>
      <w:pPr>
        <w:pStyle w:val="734"/>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23"/>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32"/>
        <w:rPr>
          <w:rFonts w:hint="eastAsia"/>
          <w:highlight w:val="none"/>
        </w:rPr>
      </w:pPr>
      <w:r>
        <w:rPr>
          <w:rFonts w:hint="eastAsia"/>
          <w:highlight w:val="none"/>
        </w:rPr>
      </w:r>
      <w:r/>
    </w:p>
    <w:p>
      <w:pPr>
        <w:pStyle w:val="728"/>
        <w:ind w:firstLine="301"/>
        <w:jc w:val="center"/>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4" w:name="_Toc23039"/>
      <w:r/>
      <w:bookmarkStart w:id="5" w:name="_Toc11101"/>
      <w:r>
        <w:rPr>
          <w:rFonts w:hint="eastAsia" w:ascii="仿宋" w:hAnsi="仿宋" w:eastAsia="仿宋" w:cs="仿宋"/>
          <w:b/>
          <w:bCs/>
          <w:color w:val="000000" w:themeColor="text1"/>
          <w:sz w:val="30"/>
          <w:szCs w:val="30"/>
          <w:highlight w:val="none"/>
          <w14:textFill>
            <w14:solidFill>
              <w14:schemeClr w14:val="tx1"/>
            </w14:solidFill>
          </w14:textFill>
        </w:rPr>
        <w:t xml:space="preserve">代理机构：</w:t>
      </w:r>
      <w:bookmarkEnd w:id="4"/>
      <w:r/>
      <w:bookmarkEnd w:id="5"/>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中鸿亿博集团有限公司</w:t>
      </w:r>
      <w:r/>
    </w:p>
    <w:p>
      <w:pPr>
        <w:pStyle w:val="728"/>
        <w:ind w:firstLine="301"/>
        <w:jc w:val="center"/>
        <w:pageBreakBefore w:val="0"/>
        <w:spacing w:line="360" w:lineRule="auto"/>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2026年3月</w:t>
      </w:r>
      <w:r/>
    </w:p>
    <w:p>
      <w:pPr>
        <w:rPr>
          <w:rFonts w:hint="eastAsia" w:ascii="仿宋" w:hAnsi="仿宋" w:eastAsia="仿宋" w:cs="仿宋"/>
          <w:highlight w:val="none"/>
        </w:rPr>
      </w:pPr>
      <w:r>
        <w:rPr>
          <w:rFonts w:hint="eastAsia" w:ascii="仿宋" w:hAnsi="仿宋" w:eastAsia="仿宋" w:cs="仿宋"/>
          <w:highlight w:val="none"/>
        </w:rPr>
      </w:r>
      <w:r/>
    </w:p>
    <w:p>
      <w:pPr>
        <w:pStyle w:val="1000"/>
        <w:keepLines w:val="0"/>
        <w:keepNext w:val="0"/>
        <w:pageBreakBefore w:val="0"/>
        <w:spacing w:line="360" w:lineRule="auto"/>
        <w:widowControl/>
        <w:tabs>
          <w:tab w:val="right" w:pos="8844" w:leader="dot"/>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41"/>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outlineLvl w:val="9"/>
      </w:pPr>
      <w:r/>
      <w:bookmarkStart w:id="6" w:name="_Toc28664"/>
      <w:r/>
      <w:bookmarkStart w:id="7" w:name="_Toc7019"/>
      <w:r/>
      <w:bookmarkStart w:id="8" w:name="_Toc24307"/>
      <w:r/>
      <w:r/>
    </w:p>
    <w:p>
      <w:pPr>
        <w:pStyle w:val="728"/>
        <w:jc w:val="center"/>
        <w:spacing w:line="360" w:lineRule="auto"/>
        <w:rPr>
          <w:rFonts w:hint="eastAsia" w:ascii="仿宋" w:hAnsi="仿宋" w:eastAsia="仿宋" w:cs="仿宋"/>
          <w:color w:val="000000" w:themeColor="text1"/>
          <w:sz w:val="24"/>
          <w:highlight w:val="white"/>
          <w14:textFill>
            <w14:solidFill>
              <w14:schemeClr w14:val="tx1"/>
            </w14:solidFill>
          </w14:textFill>
        </w:rPr>
      </w:pPr>
      <w:r/>
      <w:bookmarkStart w:id="9" w:name="_Toc1046"/>
      <w:r/>
      <w:bookmarkStart w:id="10" w:name="_Toc4305"/>
      <w:r/>
      <w:bookmarkStart w:id="11" w:name="_Toc3776"/>
      <w:r/>
      <w:bookmarkStart w:id="12" w:name="_Toc2168"/>
      <w:r/>
      <w:bookmarkStart w:id="13" w:name="_Toc24281"/>
      <w:r/>
      <w:bookmarkStart w:id="14" w:name="_Toc12112"/>
      <w:r/>
      <w:bookmarkStart w:id="15" w:name="_Toc24143"/>
      <w:r/>
      <w:bookmarkStart w:id="16" w:name="_Toc27132"/>
      <w:r>
        <w:rPr>
          <w:rFonts w:hint="eastAsia" w:ascii="仿宋" w:hAnsi="仿宋" w:eastAsia="仿宋" w:cs="仿宋"/>
          <w:b/>
          <w:color w:val="000000" w:themeColor="text1"/>
          <w:sz w:val="44"/>
          <w:szCs w:val="44"/>
          <w:highlight w:val="white"/>
          <w14:textFill>
            <w14:solidFill>
              <w14:schemeClr w14:val="tx1"/>
            </w14:solidFill>
          </w14:textFill>
        </w:rPr>
        <w:t xml:space="preserve">竞争性磋商文件</w:t>
      </w:r>
      <w:r/>
    </w:p>
    <w:p>
      <w:pPr>
        <w:pStyle w:val="728"/>
        <w:ind w:firstLine="1928"/>
        <w:jc w:val="both"/>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white"/>
          <w:lang w:eastAsia="zh-CN"/>
          <w14:textFill>
            <w14:solidFill>
              <w14:schemeClr w14:val="tx1"/>
            </w14:solidFill>
          </w14:textFill>
        </w:rPr>
        <w:t xml:space="preserve">项目编号：</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JSZC-320381-ZHYB-C2026-0003</w:t>
      </w:r>
      <w:r/>
    </w:p>
    <w:p>
      <w:pPr>
        <w:pStyle w:val="728"/>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（供应商）：</w:t>
      </w:r>
      <w:r/>
    </w:p>
    <w:p>
      <w:pPr>
        <w:pStyle w:val="728"/>
        <w:ind w:firstLine="497"/>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中鸿亿博集团有限公司</w:t>
      </w:r>
      <w:r>
        <w:rPr>
          <w:rFonts w:hint="eastAsia" w:ascii="仿宋" w:hAnsi="仿宋" w:eastAsia="仿宋" w:cs="仿宋"/>
          <w:color w:val="000000" w:themeColor="text1"/>
          <w:sz w:val="24"/>
          <w:szCs w:val="24"/>
          <w:highlight w:val="white"/>
          <w14:textFill>
            <w14:solidFill>
              <w14:schemeClr w14:val="tx1"/>
            </w14:solidFill>
          </w14:textFill>
        </w:rPr>
        <w:t xml:space="preserve">对</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szCs w:val="24"/>
          <w:highlight w:val="white"/>
          <w14:textFill>
            <w14:solidFill>
              <w14:schemeClr w14:val="tx1"/>
            </w14:solidFill>
          </w14:textFill>
        </w:rPr>
        <w:t xml:space="preserve">采取竞争性磋商采购方式进行采购，竞争性磋商文件（以下简称《磋商文件》）内容如下：</w:t>
      </w:r>
      <w:r/>
    </w:p>
    <w:p>
      <w:pPr>
        <w:pStyle w:val="741"/>
        <w:pageBreakBefore w:val="0"/>
        <w:spacing w:line="360" w:lineRule="auto"/>
        <w:rPr>
          <w:rFonts w:hint="default"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6"/>
      <w:r/>
      <w:bookmarkEnd w:id="7"/>
      <w:r/>
      <w:bookmarkEnd w:id="8"/>
      <w:r/>
      <w:bookmarkEnd w:id="9"/>
      <w:r/>
      <w:bookmarkEnd w:id="10"/>
      <w:r/>
      <w:bookmarkEnd w:id="11"/>
      <w:r/>
      <w:bookmarkEnd w:id="12"/>
      <w:r/>
      <w:bookmarkEnd w:id="13"/>
      <w:r/>
      <w:bookmarkEnd w:id="14"/>
      <w:r/>
      <w:bookmarkEnd w:id="15"/>
      <w:r/>
      <w:bookmarkEnd w:id="16"/>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项目说明</w:t>
      </w:r>
      <w:r/>
    </w:p>
    <w:p>
      <w:pPr>
        <w:pStyle w:val="738"/>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一、采购人</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新沂市住房和城乡建设局</w:t>
      </w:r>
      <w:r/>
    </w:p>
    <w:p>
      <w:pPr>
        <w:pStyle w:val="738"/>
        <w:jc w:val="left"/>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二、项目编号：JSZC-320381-ZHYB-C2026-0003</w:t>
      </w:r>
      <w:r/>
    </w:p>
    <w:p>
      <w:pPr>
        <w:pStyle w:val="738"/>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lang w:eastAsia="zh-CN"/>
          <w14:textFill>
            <w14:solidFill>
              <w14:schemeClr w14:val="tx1"/>
            </w14:solidFill>
          </w14:textFill>
        </w:rPr>
        <w:t xml:space="preserve">临沭路口袋公园工程项目</w:t>
      </w:r>
      <w:r/>
    </w:p>
    <w:p>
      <w:pPr>
        <w:pStyle w:val="738"/>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highlight w:val="none"/>
          <w14:textFill>
            <w14:solidFill>
              <w14:schemeClr w14:val="tx1"/>
            </w14:solidFill>
          </w14:textFill>
        </w:rPr>
        <w:t xml:space="preserve">采购邀请：通过发布公告的方式邀请符合相应资格条件的供应商参与竞争性磋商采购活动。</w:t>
      </w:r>
      <w:r/>
    </w:p>
    <w:p>
      <w:pPr>
        <w:pStyle w:val="738"/>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五、采购方式：本项目采用竞争性磋商采购方式。</w:t>
      </w:r>
      <w:r/>
    </w:p>
    <w:p>
      <w:pPr>
        <w:pStyle w:val="738"/>
        <w:jc w:val="left"/>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六、供应商资格条件：</w:t>
      </w:r>
      <w:r/>
    </w:p>
    <w:p>
      <w:pPr>
        <w:pStyle w:val="738"/>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满足</w:t>
      </w:r>
      <w:r>
        <w:rPr>
          <w:rFonts w:hint="eastAsia" w:ascii="仿宋" w:hAnsi="仿宋" w:eastAsia="仿宋" w:cs="仿宋"/>
          <w:color w:val="000000" w:themeColor="text1"/>
          <w:sz w:val="24"/>
          <w:highlight w:val="none"/>
          <w14:textFill>
            <w14:solidFill>
              <w14:schemeClr w14:val="tx1"/>
            </w14:solidFill>
          </w14:textFill>
        </w:rPr>
        <w:t xml:space="preserve">《中华人民共和国政府采购法》第二十二条规定；</w:t>
      </w:r>
      <w:r/>
    </w:p>
    <w:p>
      <w:pPr>
        <w:pStyle w:val="713"/>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13"/>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p>
    <w:p>
      <w:pPr>
        <w:pStyle w:val="713"/>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pStyle w:val="713"/>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4.具备履行合同所必需的设备和专业技术能力的证明材料提供具备履行合同所必需的设备和专业技术能力的书面声明（加盖电子签章，格式见《磋商文件》附件）；</w:t>
      </w:r>
      <w:r/>
    </w:p>
    <w:p>
      <w:pPr>
        <w:pStyle w:val="713"/>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38"/>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二</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落实政府采购政策需满足的资格要求：</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38"/>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jc w:val="left"/>
        <w:keepLines w:val="0"/>
        <w:keepNext w:val="0"/>
        <w:pageBreakBefore w:val="0"/>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拟派项目经理：供应商拟派项目经理须具备园林绿化类专业中级（含）以上职称（如职称证书无法证明园林类相关专业的，以职称评定表或学历毕业证书为准（园林相关专业），同时提供相关证明其为本单位正式员工。相关材料扫描上传并加盖电子签章）。</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1.本项目不接受联合体参与采购活动，成交后不得转包或分包。</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lang w:val="en-US" w:eastAsia="zh-CN"/>
        </w:rPr>
      </w:pPr>
      <w:r>
        <w:rPr>
          <w:rFonts w:hint="eastAsia" w:ascii="仿宋" w:hAnsi="仿宋" w:eastAsia="仿宋" w:cs="仿宋"/>
          <w:sz w:val="24"/>
          <w:szCs w:val="24"/>
          <w:lang w:val="en-US" w:eastAsia="zh-CN"/>
        </w:rPr>
        <w:t xml:space="preserve">3.为本采购项目提供整体设计、规范编制或者项目管理、监理、检测等服务的供应商，不得再参加本采购项目的采购活动。</w:t>
      </w:r>
      <w:r/>
    </w:p>
    <w:p>
      <w:pPr>
        <w:pStyle w:val="738"/>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七、采购预算：见《磋商文件》附件2、《采购需求》。</w:t>
      </w:r>
      <w:r/>
    </w:p>
    <w:p>
      <w:pPr>
        <w:pStyle w:val="738"/>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八、采购需求：见《磋商文件》附件2、《采购需求》。</w:t>
      </w:r>
      <w:r/>
    </w:p>
    <w:p>
      <w:pPr>
        <w:pStyle w:val="738"/>
        <w:ind w:firstLine="480"/>
        <w:keepLines w:val="0"/>
        <w:keepNext w:val="0"/>
        <w:pageBreakBefore w:val="0"/>
        <w:spacing w:line="360" w:lineRule="auto"/>
        <w:rPr>
          <w:rFonts w:hint="eastAsia"/>
        </w:rPr>
      </w:pPr>
      <w:r>
        <w:rPr>
          <w:rFonts w:hint="eastAsia" w:ascii="仿宋" w:hAnsi="仿宋" w:eastAsia="仿宋" w:cs="仿宋"/>
          <w:b/>
          <w:bCs/>
          <w:color w:val="000000" w:themeColor="text1"/>
          <w:sz w:val="24"/>
          <w:highlight w:val="none"/>
          <w14:textFill>
            <w14:solidFill>
              <w14:schemeClr w14:val="tx1"/>
            </w14:solidFill>
          </w14:textFill>
        </w:rPr>
        <w:t xml:space="preserve">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b/>
          <w:bCs/>
          <w:color w:val="000000" w:themeColor="text1"/>
          <w:sz w:val="24"/>
          <w:highlight w:val="none"/>
          <w14:textFill>
            <w14:solidFill>
              <w14:schemeClr w14:val="tx1"/>
            </w14:solidFill>
          </w14:textFill>
        </w:rPr>
        <w:t xml:space="preserve">、《拟签订的合同文本》。</w:t>
      </w:r>
      <w:r/>
    </w:p>
    <w:p>
      <w:pPr>
        <w:pStyle w:val="738"/>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报价要求：</w:t>
      </w:r>
      <w:r>
        <w:rPr>
          <w:rFonts w:hint="eastAsia" w:ascii="仿宋" w:hAnsi="仿宋" w:eastAsia="仿宋" w:cs="仿宋"/>
          <w:b/>
          <w:bCs/>
          <w:color w:val="000000" w:themeColor="text1"/>
          <w:sz w:val="24"/>
          <w:highlight w:val="none"/>
          <w14:textFill>
            <w14:solidFill>
              <w14:schemeClr w14:val="tx1"/>
            </w14:solidFill>
          </w14:textFill>
        </w:rPr>
        <w:t xml:space="preserve">见《磋商文件》附件2、《采购需求》。</w:t>
      </w:r>
      <w:r/>
    </w:p>
    <w:p>
      <w:pPr>
        <w:pStyle w:val="738"/>
        <w:ind w:firstLine="480"/>
        <w:keepLines w:val="0"/>
        <w:keepNext w:val="0"/>
        <w:pageBreakBefore w:val="0"/>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十一</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磋商保证金交纳数额和形式：本项目不收取磋商保证金。</w:t>
      </w:r>
      <w:r/>
    </w:p>
    <w:p>
      <w:pPr>
        <w:pStyle w:val="726"/>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、竞争性磋商文件的获取</w:t>
      </w:r>
      <w:r/>
    </w:p>
    <w:p>
      <w:pPr>
        <w:pStyle w:val="726"/>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获取方式：</w:t>
      </w:r>
      <w:r/>
    </w:p>
    <w:p>
      <w:pPr>
        <w:pStyle w:val="726"/>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r/>
    </w:p>
    <w:p>
      <w:pPr>
        <w:pStyle w:val="726"/>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潜在</w:t>
      </w:r>
      <w:r>
        <w:rPr>
          <w:rFonts w:hint="eastAsia" w:ascii="仿宋" w:hAnsi="仿宋" w:eastAsia="仿宋" w:cs="仿宋"/>
          <w:b w:val="0"/>
          <w:bCs/>
          <w:sz w:val="24"/>
          <w:highlight w:val="none"/>
          <w:lang w:eastAsia="zh-CN"/>
        </w:rPr>
        <w:t xml:space="preserve">供应商</w:t>
      </w:r>
      <w:r>
        <w:rPr>
          <w:rFonts w:hint="eastAsia" w:ascii="仿宋" w:hAnsi="仿宋" w:eastAsia="仿宋" w:cs="仿宋"/>
          <w:b w:val="0"/>
          <w:bCs/>
          <w:sz w:val="24"/>
          <w:highlight w:val="none"/>
        </w:rPr>
        <w:t xml:space="preserve">访问电子招标投标交易平台的网络地址和方法：</w:t>
      </w:r>
      <w:r/>
    </w:p>
    <w:p>
      <w:pPr>
        <w:pStyle w:val="72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 xml:space="preserve">作</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--导出加密的</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（后缀名为zip）--通过“苏采云”系统上传</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。具体见《江苏省政府采购管理交易系统（苏采云）供应商操作手册》。</w:t>
      </w:r>
      <w:r/>
    </w:p>
    <w:p>
      <w:pPr>
        <w:pStyle w:val="72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2</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访问“苏采云”系统的网络地址和方法：</w:t>
      </w:r>
      <w:r/>
    </w:p>
    <w:p>
      <w:pPr>
        <w:pStyle w:val="72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 “苏采云”系统的网址：http://jszfcg.jsczt.cn/；或进入徐州政府采购网（网址：http://czj.xz.gov.cn/Home/HomeIndex）--业务工作--用户登录，点击“苏采云”进入系统。</w:t>
      </w:r>
      <w:r/>
    </w:p>
    <w:p>
      <w:pPr>
        <w:pStyle w:val="72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3</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“CA数字证书”的获取：</w:t>
      </w:r>
      <w:r/>
    </w:p>
    <w:p>
      <w:pPr>
        <w:pStyle w:val="72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2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4</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26"/>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5</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下载或者查阅。</w:t>
      </w:r>
      <w:r/>
    </w:p>
    <w:p>
      <w:pPr>
        <w:pStyle w:val="726"/>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6</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苏采云系统全程使用谷歌浏览器。</w:t>
      </w:r>
      <w:r/>
    </w:p>
    <w:p>
      <w:pPr>
        <w:pStyle w:val="727"/>
      </w:pPr>
      <w:r/>
      <w:r/>
    </w:p>
    <w:p>
      <w:pPr>
        <w:pStyle w:val="739"/>
        <w:rPr>
          <w:rFonts w:hint="eastAsia"/>
          <w:lang w:val="en-US" w:eastAsia="zh-CN"/>
        </w:rPr>
      </w:pPr>
      <w:r>
        <w:rPr>
          <w:rFonts w:hint="eastAsia"/>
          <w:lang w:val="en-US" w:eastAsia="zh-CN"/>
        </w:rPr>
      </w:r>
      <w:r/>
    </w:p>
    <w:p>
      <w:pPr>
        <w:pStyle w:val="738"/>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bookmarkStart w:id="17" w:name="_Toc18728"/>
      <w:r/>
      <w:bookmarkStart w:id="18" w:name="_Toc4427"/>
      <w:r/>
      <w:bookmarkStart w:id="19" w:name="_Toc23839"/>
      <w:r/>
      <w:bookmarkStart w:id="20" w:name="_Toc16945"/>
      <w:r/>
      <w:bookmarkStart w:id="21" w:name="_Toc16522"/>
      <w:r/>
      <w:bookmarkStart w:id="22" w:name="_Toc22967"/>
      <w:r/>
      <w:bookmarkStart w:id="23" w:name="_Toc22062"/>
      <w:r/>
      <w:bookmarkStart w:id="24" w:name="_Toc3708"/>
      <w:r/>
      <w:bookmarkStart w:id="25" w:name="_Toc13830"/>
      <w:r/>
      <w:bookmarkStart w:id="26" w:name="_Toc24827"/>
      <w:r/>
      <w:bookmarkStart w:id="27" w:name="_Toc25225"/>
      <w:r/>
      <w:bookmarkStart w:id="28" w:name="_Toc26050"/>
      <w:r/>
      <w:bookmarkStart w:id="29" w:name="_Toc23110"/>
      <w:r/>
      <w:bookmarkStart w:id="30" w:name="_Toc14940"/>
      <w:r/>
      <w:bookmarkStart w:id="31" w:name="_Toc26337"/>
      <w:r/>
      <w:bookmarkStart w:id="32" w:name="_Toc14736"/>
      <w:r/>
      <w:bookmarkStart w:id="33" w:name="_Toc23994"/>
      <w:r/>
      <w:bookmarkStart w:id="34" w:name="_Toc14217"/>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pStyle w:val="741"/>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第二章 招标代理服务费</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727"/>
        <w:ind w:left="0"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采购人承担本项目招标代理服务费，收取标准参照徐州市政府采购协会印发的《徐州市政府采购业务代理服务费行业指导价格标准》）标准的50%计取。</w:t>
      </w:r>
      <w:r/>
    </w:p>
    <w:p>
      <w:pPr>
        <w:jc w:val="center"/>
        <w:keepLines/>
        <w:keepNext/>
        <w:pageBreakBefore w:val="0"/>
        <w:spacing w:before="260" w:after="260" w:line="360" w:lineRule="auto"/>
        <w:widowControl w:val="off"/>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outlineLvl w:val="1"/>
      </w:pPr>
      <w:r/>
      <w:bookmarkStart w:id="35" w:name="_Toc13394"/>
      <w:r/>
      <w:bookmarkStart w:id="36" w:name="_Toc4006"/>
      <w:r/>
      <w:bookmarkStart w:id="37" w:name="_Toc32431"/>
      <w:r/>
      <w:bookmarkStart w:id="38" w:name="_Toc26407"/>
      <w:r/>
      <w:bookmarkStart w:id="39" w:name="_Toc17653"/>
      <w:r>
        <w:rPr>
          <w:rFonts w:hint="eastAsia" w:ascii="仿宋" w:hAnsi="仿宋" w:eastAsia="仿宋" w:cs="仿宋"/>
          <w:b/>
          <w:bCs/>
          <w:color w:val="000000"/>
          <w:sz w:val="24"/>
          <w:szCs w:val="24"/>
          <w:highlight w:val="none"/>
          <w:lang w:val="en-US" w:eastAsia="zh-CN" w:bidi="ar-SA"/>
        </w:rPr>
        <w:t xml:space="preserve">代理服务收费标准</w:t>
      </w:r>
      <w:r/>
    </w:p>
    <w:tbl>
      <w:tblPr>
        <w:tblStyle w:val="687"/>
        <w:tblW w:w="860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1-10亿（含10亿元）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4.代理服务费应收取金额=代理服务费基准金额（按差额定率累进法计算的）的合计数*50%。</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6.有分包（分标段）的按一个项目计算。</w:t>
      </w:r>
      <w:r/>
    </w:p>
    <w:p>
      <w:pPr>
        <w:pStyle w:val="731"/>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41"/>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0" w:name="_Toc21922"/>
      <w:r/>
      <w:bookmarkStart w:id="41" w:name="_Toc27036"/>
      <w:r/>
      <w:bookmarkStart w:id="42" w:name="_Toc18456"/>
      <w:r/>
      <w:bookmarkStart w:id="43" w:name="_Toc29401"/>
      <w:r/>
      <w:bookmarkStart w:id="44" w:name="_Toc28130"/>
      <w:r/>
      <w:bookmarkStart w:id="45" w:name="_Toc5546"/>
      <w:r>
        <w:rPr>
          <w:rFonts w:hint="eastAsia" w:ascii="仿宋" w:hAnsi="仿宋" w:eastAsia="仿宋" w:cs="仿宋"/>
          <w:color w:val="000000" w:themeColor="text1"/>
          <w:sz w:val="30"/>
          <w:szCs w:val="30"/>
          <w:highlight w:val="none"/>
          <w14:textFill>
            <w14:solidFill>
              <w14:schemeClr w14:val="tx1"/>
            </w14:solidFill>
          </w14:textFill>
        </w:rPr>
        <w:t xml:space="preserve">第三章 响应文件</w:t>
      </w:r>
      <w:bookmarkEnd w:id="35"/>
      <w:r/>
      <w:bookmarkEnd w:id="36"/>
      <w:r/>
      <w:bookmarkEnd w:id="37"/>
      <w:r/>
      <w:bookmarkEnd w:id="38"/>
      <w:r/>
      <w:bookmarkEnd w:id="39"/>
      <w:r/>
      <w:bookmarkEnd w:id="40"/>
      <w:r/>
      <w:bookmarkEnd w:id="41"/>
      <w:r/>
      <w:bookmarkEnd w:id="42"/>
      <w:r/>
      <w:bookmarkEnd w:id="43"/>
      <w:r/>
      <w:bookmarkEnd w:id="44"/>
      <w:r/>
      <w:bookmarkEnd w:id="45"/>
      <w:r/>
      <w:r/>
    </w:p>
    <w:p>
      <w:pPr>
        <w:pStyle w:val="728"/>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一、提交响应文件要求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（一）本项目通过“苏采云”系统进行电子采购，即供应商响应文件从政府采购客户端工具制作并通过“苏采云”系统提交。</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CA，省内各地区办理的“苏采云”系统下的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26"/>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“苏采云”系统使用要求：</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1、使用谷歌浏览器参与不见面开标及磋商环节。</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2、电脑需提前准备好麦克风、音响，摄像头，提前检查保证能够正常使用。</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3、操作系统至少win7以上，建议使用win10操作系统。</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（二）首次响应文件提交的截止时间：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rPr>
          <w:rFonts w:hint="eastAsia" w:ascii="仿宋" w:hAnsi="仿宋" w:eastAsia="仿宋" w:cs="仿宋"/>
          <w:b w:val="0"/>
          <w:bCs/>
          <w:color w:val="000000"/>
          <w:sz w:val="24"/>
          <w:highlight w:val="none"/>
        </w:rPr>
        <w:t xml:space="preserve">在截止时间后提交的首次响应文件为无效文件，将被拒收。</w:t>
      </w:r>
      <w:r/>
    </w:p>
    <w:p>
      <w:pPr>
        <w:pStyle w:val="726"/>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（三）首次响应文件提交时间、地点：</w:t>
      </w:r>
      <w:r>
        <w:rPr>
          <w:rFonts w:hint="eastAsia" w:ascii="仿宋" w:hAnsi="仿宋" w:eastAsia="仿宋" w:cs="仿宋"/>
          <w:b/>
          <w:bCs w:val="0"/>
          <w:color w:val="000000"/>
          <w:sz w:val="24"/>
          <w:highlight w:val="none"/>
          <w:lang w:val="en-US" w:eastAsia="zh-CN"/>
        </w:rPr>
        <w:t xml:space="preserve"> </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1、提交时间</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首次响应文件提交的截止时间</w:t>
      </w:r>
      <w:r>
        <w:rPr>
          <w:rFonts w:hint="eastAsia" w:ascii="仿宋" w:hAnsi="仿宋" w:eastAsia="仿宋" w:cs="仿宋"/>
          <w:b/>
          <w:bCs w:val="0"/>
          <w:color w:val="000000"/>
          <w:sz w:val="24"/>
          <w:highlight w:val="none"/>
        </w:rPr>
        <w:t xml:space="preserve">（</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）前。</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2、提交地点：</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（四）首次响应文件开启时间：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p>
    <w:p>
      <w:pPr>
        <w:pStyle w:val="726"/>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（五）首次响应文件开启地点：</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（七）不接受不按要求加盖公章（电子签章）的首次响应文件。电子签章相关要求见“苏采云”系统。</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 xml:space="preserve">开启时间后30分钟内，</w:t>
      </w:r>
      <w:r>
        <w:rPr>
          <w:rFonts w:hint="eastAsia" w:ascii="仿宋" w:hAnsi="仿宋" w:eastAsia="仿宋" w:cs="仿宋"/>
          <w:b w:val="0"/>
          <w:bCs/>
          <w:color w:val="000000"/>
          <w:sz w:val="24"/>
          <w:highlight w:val="none"/>
        </w:rPr>
        <w:t xml:space="preserve">通过“苏采云”系统（使用“CA数字证书”）解密。</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 xml:space="preserve">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26"/>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（十）相关说明: 供应商在“苏采云”系统中提交首次响应文件的时间即为数据电文（响应文件，下同）的发送时间和接收时间。</w:t>
      </w:r>
      <w:r/>
    </w:p>
    <w:p>
      <w:pPr>
        <w:pStyle w:val="727"/>
        <w:rPr>
          <w:rFonts w:hint="eastAsia"/>
        </w:rPr>
      </w:pPr>
      <w:r>
        <w:rPr>
          <w:rFonts w:hint="eastAsia"/>
        </w:rPr>
      </w:r>
      <w:r/>
    </w:p>
    <w:p>
      <w:pPr>
        <w:pStyle w:val="728"/>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二、响应文件编制要求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28"/>
        <w:ind w:firstLine="0"/>
        <w:pageBreakBefore w:val="0"/>
        <w:spacing w:line="240" w:lineRule="auto"/>
        <w:widowControl w:val="off"/>
        <w:rPr>
          <w:rFonts w:hint="eastAsia" w:ascii="仿宋" w:hAnsi="仿宋" w:eastAsia="仿宋" w:cs="仿宋"/>
          <w:color w:val="000000" w:themeColor="text1"/>
          <w:sz w:val="24"/>
          <w:highlight w:val="yellow"/>
          <w14:textFill>
            <w14:solidFill>
              <w14:schemeClr w14:val="tx1"/>
            </w14:solidFill>
          </w14:textFill>
        </w:rPr>
      </w:pPr>
      <w:r>
        <w:rPr>
          <w:rFonts w:hint="eastAsia" w:ascii="仿宋" w:hAnsi="仿宋" w:eastAsia="仿宋" w:cs="仿宋"/>
          <w:color w:val="000000" w:themeColor="text1"/>
          <w:sz w:val="24"/>
          <w:highlight w:val="yellow"/>
          <w14:textFill>
            <w14:solidFill>
              <w14:schemeClr w14:val="tx1"/>
            </w14:solidFill>
          </w14:textFill>
        </w:rPr>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1"/>
        </w:num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基本目录</w:t>
      </w:r>
      <w:r/>
    </w:p>
    <w:p>
      <w:pPr>
        <w:pStyle w:val="679"/>
        <w:numPr>
          <w:ilvl w:val="0"/>
          <w:numId w:val="2"/>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679"/>
        <w:numPr>
          <w:ilvl w:val="0"/>
          <w:numId w:val="0"/>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政府采购客户端工具输入报价自动生成）；</w:t>
      </w:r>
      <w:r/>
    </w:p>
    <w:p>
      <w:p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13"/>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28"/>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pStyle w:val="728"/>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注：中小微企业，应当同时符合以下条件：</w:t>
      </w:r>
      <w:r/>
    </w:p>
    <w:p>
      <w:pPr>
        <w:pStyle w:val="728"/>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28"/>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28"/>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38"/>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pageBreakBefore w:val="0"/>
        <w:spacing w:after="0" w:line="360" w:lineRule="auto"/>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1）、拟派项目经理：供应商拟派项目经理须具备园林绿化类专业中级（含）以上职称（如职称证书无法证明园林类相关专业的，以职称评定表或学历毕业证书为准（园林相关专业），同时提供相关证明为本单位正式员工</w:t>
      </w:r>
      <w:bookmarkStart w:id="666" w:name="_GoBack"/>
      <w:r/>
      <w:bookmarkEnd w:id="666"/>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。相关材料扫描上传并加盖电子签章）。</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5.《偏离表》（加盖电子签章，格式见《磋商文件》附件）；</w:t>
      </w:r>
      <w:r/>
    </w:p>
    <w:p>
      <w:pPr>
        <w:ind w:firstLine="48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auto"/>
          <w:sz w:val="24"/>
          <w:szCs w:val="24"/>
          <w:highlight w:val="none"/>
          <w:lang w:eastAsia="zh-CN"/>
        </w:rPr>
        <w:t xml:space="preserve">1.技术部分</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《总体施工方案》（</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工期横道图》（</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施工进度计划及保证措施》（</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lang w:val="en-US" w:eastAsia="zh-CN"/>
        </w:rPr>
        <w:t xml:space="preserve">施工质量保证措施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bidi="ar-SA"/>
        </w:rPr>
        <w:t xml:space="preserve">项目管理班子人员配备、素质及管理经验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lang w:val="en-US" w:eastAsia="zh-CN" w:bidi="ar-SA"/>
        </w:rPr>
        <w:t xml:space="preserve">关键施工技术、工艺及工程项目实施的重点、难点和解决方案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lang w:val="en-US" w:eastAsia="zh-CN" w:bidi="ar-SA"/>
        </w:rPr>
        <w:t xml:space="preserve">安全文明施工方案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后期维保方案及措施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.商务部分</w:t>
      </w:r>
      <w:r/>
    </w:p>
    <w:p>
      <w:pPr>
        <w:pStyle w:val="969"/>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类似</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969"/>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综合实力</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241"/>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）价格折扣文件格式：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无</w:t>
      </w:r>
      <w:r/>
    </w:p>
    <w:p>
      <w:pPr>
        <w:ind w:firstLine="241"/>
        <w:pageBreakBefore w:val="0"/>
        <w:spacing w:after="0"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（六）提交的首次电子响应文件的密封、签署、盖章要求：</w:t>
      </w:r>
      <w:r/>
    </w:p>
    <w:p>
      <w:pPr>
        <w:pStyle w:val="969"/>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1、密封（加密）要求：</w:t>
      </w:r>
      <w:r/>
    </w:p>
    <w:p>
      <w:pPr>
        <w:pStyle w:val="969"/>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9"/>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、签署要求：见《磋商文件》第九章附件中相关格式要求。</w:t>
      </w:r>
      <w:r/>
    </w:p>
    <w:p>
      <w:pPr>
        <w:pStyle w:val="969"/>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盖章要求：见《磋商文件》第九章附件中相关格式要求。供应商须通过“苏采云”系统提供的政府采购客户端工具（使用“CA数字证书”）加盖电子签章。</w:t>
      </w:r>
      <w:r/>
    </w:p>
    <w:p>
      <w:pPr>
        <w:pStyle w:val="969"/>
        <w:ind w:firstLine="480"/>
        <w:jc w:val="both"/>
        <w:pageBreakBefore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（特别提醒：竞争性磋商文件中如需“被授权代表签字或盖章”，供应商可打印成文档，签字或盖章后再扫描上传，最后再电子签章）。</w:t>
      </w:r>
      <w:r/>
    </w:p>
    <w:p>
      <w:pPr>
        <w:ind w:firstLine="241"/>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150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M！</w:t>
      </w:r>
      <w:r/>
    </w:p>
    <w:p>
      <w:pPr>
        <w:pStyle w:val="741"/>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6" w:name="_Toc3749"/>
      <w:r/>
      <w:bookmarkStart w:id="47" w:name="_Toc17282"/>
      <w:r/>
      <w:bookmarkStart w:id="48" w:name="_Toc25734"/>
      <w:r/>
      <w:bookmarkStart w:id="49" w:name="_Toc1742"/>
      <w:r/>
      <w:bookmarkStart w:id="50" w:name="_Toc4298"/>
      <w:r/>
      <w:bookmarkStart w:id="51" w:name="_Toc25964"/>
      <w:r/>
      <w:bookmarkStart w:id="52" w:name="_Toc4286"/>
      <w:r/>
      <w:bookmarkStart w:id="53" w:name="_Toc20389"/>
      <w:r/>
      <w:bookmarkStart w:id="54" w:name="_Toc13331"/>
      <w:r/>
      <w:bookmarkStart w:id="55" w:name="_Toc575"/>
      <w:r/>
      <w:bookmarkStart w:id="56" w:name="_Toc9739"/>
      <w:r>
        <w:rPr>
          <w:rFonts w:hint="eastAsia" w:ascii="仿宋" w:hAnsi="仿宋" w:eastAsia="仿宋" w:cs="仿宋"/>
          <w:color w:val="000000" w:themeColor="text1"/>
          <w:sz w:val="30"/>
          <w:szCs w:val="30"/>
          <w:highlight w:val="none"/>
          <w14:textFill>
            <w14:solidFill>
              <w14:schemeClr w14:val="tx1"/>
            </w14:solidFill>
          </w14:textFill>
        </w:rPr>
        <w:t xml:space="preserve">第四章 磋商相关说明</w:t>
      </w:r>
      <w:bookmarkEnd w:id="46"/>
      <w:r/>
      <w:bookmarkEnd w:id="47"/>
      <w:r/>
      <w:bookmarkEnd w:id="48"/>
      <w:r/>
      <w:bookmarkEnd w:id="49"/>
      <w:r/>
      <w:bookmarkEnd w:id="50"/>
      <w:r/>
      <w:bookmarkEnd w:id="51"/>
      <w:r/>
      <w:bookmarkEnd w:id="52"/>
      <w:r/>
      <w:bookmarkEnd w:id="53"/>
      <w:r/>
      <w:bookmarkEnd w:id="54"/>
      <w:r/>
      <w:bookmarkEnd w:id="55"/>
      <w:r/>
      <w:bookmarkEnd w:id="56"/>
      <w:r/>
      <w:r/>
    </w:p>
    <w:p>
      <w:pPr>
        <w:pStyle w:val="728"/>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一、评审程序：</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(一)磋商要求</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w:t>
      </w:r>
      <w:r>
        <w:rPr>
          <w:rFonts w:hint="eastAsia" w:ascii="仿宋" w:hAnsi="仿宋" w:eastAsia="仿宋" w:cs="仿宋"/>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 xml:space="preserve">。</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5.磋商方式：</w:t>
      </w:r>
      <w:r>
        <w:rPr>
          <w:rFonts w:hint="eastAsia" w:ascii="仿宋" w:hAnsi="仿宋" w:eastAsia="仿宋" w:cs="仿宋"/>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6.未在规定时间内进行答疑澄清的，视同放弃澄清。</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7.未在规定时间内进行报价的，视为响应无效。</w:t>
      </w:r>
      <w:r/>
    </w:p>
    <w:p>
      <w:pPr>
        <w:pStyle w:val="733"/>
        <w:ind w:firstLine="480"/>
        <w:keepLines w:val="0"/>
        <w:keepNext w:val="0"/>
        <w:pageBreakBefore w:val="0"/>
        <w:spacing w:line="360"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color w:val="000000" w:themeColor="text1"/>
          <w:highlight w:val="none"/>
          <w14:textFill>
            <w14:solidFill>
              <w14:schemeClr w14:val="tx1"/>
            </w14:solidFill>
          </w14:textFill>
        </w:rPr>
        <w:t xml:space="preserve">9.本项目无效标书判定（磋商文件的实质性要求）</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9.1供应商资格条件不符合国家有关规定或磋商文件要求的；</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9.2响应报价低于成本或者高于磋商文件设定的最高限价的；</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25"/>
        <w:ind w:firstLine="24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1.由采购人查询信用信息。</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2.查询渠道包括：</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(1)“信用中国”网（www.creditchina.gov.cn）；</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b w:val="0"/>
          <w:bCs/>
          <w:color w:val="000000" w:themeColor="text1"/>
          <w:highlight w:val="none"/>
          <w14:textFill>
            <w14:solidFill>
              <w14:schemeClr w14:val="tx1"/>
            </w14:solidFill>
          </w14:textFill>
        </w:rPr>
        <w:t xml:space="preserve">(2) 中国政府采购网（www.ccgp.gov.cn）；</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 “诚信江苏”网（www.jiangsu.gov.cn/jsxy/index.htm）</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和或“信用江苏”网（http://credit.jiangsu.gov.cn/）；</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(4)“诚信徐州”网（ http://www.xuzhoucredit.gov.cn）。</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和或“信用徐州”网（www.xuzhoucredit.gov.cn/）。</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3.截止时点（查询环节）：首次响应文件开启后资格审查结束前。</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4.信用信息查询记录和证据留存的具体方式：</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网页截屏打印，与其他采购文件一并保存。</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5.信用信息的使用规则：</w:t>
      </w:r>
      <w:r/>
    </w:p>
    <w:p>
      <w:pPr>
        <w:pStyle w:val="725"/>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25"/>
        <w:numPr>
          <w:ilvl w:val="0"/>
          <w:numId w:val="3"/>
        </w:numPr>
        <w:ind w:left="0"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评审程序</w:t>
      </w:r>
      <w:r/>
    </w:p>
    <w:p>
      <w:pPr>
        <w:pStyle w:val="725"/>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 xml:space="preserve">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b/>
          <w:bCs w:val="0"/>
          <w:color w:val="000000" w:themeColor="text1"/>
          <w:highlight w:val="none"/>
          <w14:textFill>
            <w14:solidFill>
              <w14:schemeClr w14:val="tx1"/>
            </w14:solidFill>
          </w14:textFill>
        </w:rPr>
        <w:t xml:space="preserve">二轮报价报价时间为</w:t>
      </w:r>
      <w:r>
        <w:rPr>
          <w:rFonts w:hint="eastAsia" w:ascii="仿宋" w:hAnsi="仿宋" w:eastAsia="仿宋" w:cs="仿宋"/>
          <w:b/>
          <w:bCs w:val="0"/>
          <w:color w:val="000000" w:themeColor="text1"/>
          <w:highlight w:val="none"/>
          <w:lang w:val="en-US" w:eastAsia="zh-CN"/>
          <w14:textFill>
            <w14:solidFill>
              <w14:schemeClr w14:val="tx1"/>
            </w14:solidFill>
          </w14:textFill>
        </w:rPr>
        <w:t xml:space="preserve">10</w:t>
      </w:r>
      <w:r>
        <w:rPr>
          <w:rFonts w:hint="eastAsia" w:ascii="仿宋" w:hAnsi="仿宋" w:eastAsia="仿宋" w:cs="仿宋"/>
          <w:b/>
          <w:bCs w:val="0"/>
          <w:color w:val="000000" w:themeColor="text1"/>
          <w:highlight w:val="none"/>
          <w14:textFill>
            <w14:solidFill>
              <w14:schemeClr w14:val="tx1"/>
            </w14:solidFill>
          </w14:textFill>
        </w:rPr>
        <w:t xml:space="preserve">分钟。</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磋商评审小组的组建：采购人组建。</w:t>
      </w:r>
      <w:r>
        <w:rPr>
          <w:rFonts w:hint="eastAsia" w:ascii="仿宋" w:hAnsi="仿宋" w:eastAsia="仿宋" w:cs="仿宋"/>
          <w:b w:val="0"/>
          <w:bCs/>
          <w:highlight w:val="none"/>
        </w:rPr>
        <w:t xml:space="preserve">磋商小组成员构成：3人。磋商小组确定方式：由采购人评委和政府采购专家（从《江苏省政府采购专家库》随机抽取）组成。</w:t>
      </w:r>
      <w:r/>
    </w:p>
    <w:p>
      <w:pPr>
        <w:pStyle w:val="725"/>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25"/>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工程</w:t>
      </w:r>
      <w:r>
        <w:rPr>
          <w:rFonts w:hint="eastAsia" w:ascii="仿宋" w:hAnsi="仿宋" w:eastAsia="仿宋" w:cs="仿宋"/>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29"/>
        <w:rPr>
          <w:rFonts w:hint="eastAsia"/>
        </w:rPr>
      </w:pPr>
      <w:r>
        <w:rPr>
          <w:rFonts w:hint="eastAsia" w:ascii="仿宋" w:hAnsi="仿宋" w:eastAsia="仿宋" w:cs="仿宋"/>
          <w:sz w:val="24"/>
          <w:szCs w:val="24"/>
        </w:rPr>
        <w:t xml:space="preserve">磋商小组启动异常低价投标（响应）审查的情形和具体要求，包括:</w:t>
      </w:r>
      <w:r/>
    </w:p>
    <w:p>
      <w:pPr>
        <w:pStyle w:val="729"/>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评审过程中出现下列情形之一的，评审委员会应当启动异常低价投标(响应)审查程序:</w:t>
      </w:r>
      <w:r/>
    </w:p>
    <w:p>
      <w:pPr>
        <w:pStyle w:val="729"/>
        <w:numPr>
          <w:ilvl w:val="0"/>
          <w:numId w:val="4"/>
        </w:numPr>
        <w:rPr>
          <w:rFonts w:hint="eastAsia" w:ascii="仿宋" w:hAnsi="仿宋" w:eastAsia="仿宋" w:cs="仿宋"/>
          <w:sz w:val="24"/>
          <w:szCs w:val="24"/>
        </w:rPr>
      </w:pPr>
      <w:r>
        <w:rPr>
          <w:rFonts w:hint="eastAsia" w:ascii="仿宋" w:hAnsi="仿宋" w:eastAsia="仿宋" w:cs="仿宋"/>
          <w:sz w:val="24"/>
          <w:szCs w:val="24"/>
        </w:rPr>
        <w:t xml:space="preserve">投标(响应)报价低于采购项目预算50%的，即投标(响应)报价&lt;采购项目预算x50%;</w:t>
      </w:r>
      <w:r/>
    </w:p>
    <w:p>
      <w:pPr>
        <w:pStyle w:val="729"/>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投标(响应)报价低于采购项目最高限价45%的，即投标(响应)报价&lt;采购项目最高限价x45%;</w:t>
      </w:r>
      <w:r/>
    </w:p>
    <w:p>
      <w:pPr>
        <w:pStyle w:val="729"/>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评审委员会认定的供应商报价过低、有可能影响产品质量或者不能诚信履约的其他情形</w:t>
      </w:r>
      <w:r>
        <w:rPr>
          <w:rFonts w:hint="eastAsia" w:ascii="仿宋" w:hAnsi="仿宋" w:eastAsia="仿宋" w:cs="仿宋"/>
          <w:sz w:val="24"/>
          <w:szCs w:val="24"/>
          <w:lang w:eastAsia="zh-CN"/>
        </w:rPr>
        <w:t xml:space="preserve">。</w:t>
      </w:r>
      <w:r/>
    </w:p>
    <w:p>
      <w:pPr>
        <w:pStyle w:val="729"/>
        <w:rPr>
          <w:rFonts w:hint="eastAsia" w:ascii="仿宋" w:hAnsi="仿宋" w:eastAsia="仿宋" w:cs="仿宋"/>
          <w:sz w:val="28"/>
          <w:szCs w:val="28"/>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启动异常低价投标（</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733"/>
        <w:ind w:left="2" w:right="29"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28"/>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二、评审方法和评审标准：</w:t>
      </w:r>
      <w:r/>
    </w:p>
    <w:p>
      <w:pPr>
        <w:pStyle w:val="728"/>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1、评审方法：综合评分法</w:t>
      </w:r>
      <w:r/>
    </w:p>
    <w:p>
      <w:pPr>
        <w:pStyle w:val="728"/>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 xml:space="preserve">第九章</w:t>
      </w:r>
      <w:r>
        <w:rPr>
          <w:rFonts w:hint="eastAsia" w:ascii="仿宋" w:hAnsi="仿宋" w:eastAsia="仿宋" w:cs="仿宋"/>
          <w:color w:val="000000" w:themeColor="text1"/>
          <w:sz w:val="24"/>
          <w:highlight w:val="none"/>
          <w14:textFill>
            <w14:solidFill>
              <w14:schemeClr w14:val="tx1"/>
            </w14:solidFill>
          </w14:textFill>
        </w:rPr>
        <w:t xml:space="preserve">附件《评分细则》</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28"/>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三、磋商过程中可能实质性变动的内容：</w:t>
      </w:r>
      <w:r/>
    </w:p>
    <w:p>
      <w:pPr>
        <w:pStyle w:val="728"/>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28"/>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28"/>
        <w:rPr>
          <w:rFonts w:hint="eastAsia" w:ascii="仿宋" w:hAnsi="仿宋" w:eastAsia="仿宋" w:cs="仿宋"/>
          <w:highlight w:val="none"/>
        </w:rPr>
      </w:pPr>
      <w:r/>
      <w:bookmarkStart w:id="57" w:name="_Toc1946"/>
      <w:r/>
      <w:bookmarkStart w:id="58" w:name="_Toc4900"/>
      <w:r/>
      <w:bookmarkStart w:id="59" w:name="_Toc11935"/>
      <w:r/>
      <w:bookmarkStart w:id="60" w:name="_Toc1470"/>
      <w:r/>
      <w:bookmarkStart w:id="61" w:name="_Toc677"/>
      <w:r/>
      <w:bookmarkStart w:id="62" w:name="_Toc18016"/>
      <w:r/>
      <w:bookmarkStart w:id="63" w:name="_Toc5288"/>
      <w:r/>
      <w:bookmarkStart w:id="64" w:name="_Toc8321"/>
      <w:r/>
      <w:bookmarkStart w:id="65" w:name="_Toc4341"/>
      <w:r/>
      <w:bookmarkStart w:id="66" w:name="_Toc570"/>
      <w:r/>
      <w:r/>
    </w:p>
    <w:p>
      <w:pPr>
        <w:pStyle w:val="728"/>
        <w:jc w:val="center"/>
        <w:keepLines w:val="0"/>
        <w:keepNext w:val="0"/>
        <w:pageBreakBefore w:val="0"/>
        <w:spacing w:line="360" w:lineRule="auto"/>
        <w:widowControl w:val="off"/>
        <w:rPr>
          <w:rFonts w:hint="eastAsia" w:ascii="仿宋" w:hAnsi="仿宋" w:eastAsia="仿宋" w:cs="仿宋"/>
          <w:b/>
          <w:bCs/>
          <w:color w:val="000000" w:themeColor="text1"/>
          <w:highlight w:val="none"/>
          <w14:textFill>
            <w14:solidFill>
              <w14:schemeClr w14:val="tx1"/>
            </w14:solidFill>
          </w14:textFill>
        </w:rPr>
        <w:outlineLvl w:val="0"/>
      </w:pPr>
      <w:r/>
      <w:bookmarkStart w:id="67" w:name="_Toc14298"/>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bookmarkEnd w:id="57"/>
      <w:r/>
      <w:bookmarkEnd w:id="58"/>
      <w:r/>
      <w:bookmarkEnd w:id="59"/>
      <w:r/>
      <w:bookmarkEnd w:id="60"/>
      <w:r/>
      <w:bookmarkEnd w:id="61"/>
      <w:r/>
      <w:bookmarkEnd w:id="62"/>
      <w:r/>
      <w:bookmarkEnd w:id="63"/>
      <w:r/>
      <w:bookmarkEnd w:id="64"/>
      <w:r/>
      <w:bookmarkEnd w:id="65"/>
      <w:r/>
      <w:bookmarkEnd w:id="66"/>
      <w:r/>
      <w:bookmarkEnd w:id="67"/>
      <w:r/>
      <w:r/>
    </w:p>
    <w:p>
      <w:pPr>
        <w:pStyle w:val="728"/>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 xml:space="preserve">一、成交结果确认：</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28"/>
        <w:ind w:firstLine="482"/>
        <w:pageBreakBefore w:val="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28"/>
        <w:ind w:firstLine="482"/>
        <w:pageBreakBefore w:val="0"/>
        <w:spacing w:line="360" w:lineRule="auto"/>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bCs/>
          <w:color w:val="000000" w:themeColor="text1"/>
          <w:sz w:val="24"/>
          <w:highlight w:val="none"/>
          <w14:textFill>
            <w14:solidFill>
              <w14:schemeClr w14:val="tx1"/>
            </w14:solidFill>
          </w14:textFill>
        </w:rPr>
        <w:t xml:space="preserve">、</w:t>
      </w:r>
      <w:bookmarkStart w:id="68" w:name="_Toc26346"/>
      <w:r/>
      <w:bookmarkStart w:id="69" w:name="_Toc26370"/>
      <w:r/>
      <w:bookmarkStart w:id="70" w:name="_Toc11573"/>
      <w:r/>
      <w:bookmarkStart w:id="71" w:name="_Toc28376"/>
      <w:r/>
      <w:bookmarkStart w:id="72" w:name="_Toc27571"/>
      <w:r/>
      <w:bookmarkStart w:id="73" w:name="_Toc11048"/>
      <w:r/>
      <w:bookmarkStart w:id="74" w:name="_Toc9526"/>
      <w:r/>
      <w:bookmarkStart w:id="75" w:name="_Toc753"/>
      <w:r/>
      <w:bookmarkStart w:id="76" w:name="_Toc22576"/>
      <w:r/>
      <w:bookmarkStart w:id="77" w:name="_Toc8179"/>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737"/>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1"/>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8" w:name="_Toc23596"/>
      <w:r>
        <w:rPr>
          <w:rFonts w:hint="eastAsia" w:ascii="仿宋" w:hAnsi="仿宋" w:eastAsia="仿宋" w:cs="仿宋"/>
          <w:color w:val="000000" w:themeColor="text1"/>
          <w:sz w:val="30"/>
          <w:szCs w:val="30"/>
          <w:highlight w:val="none"/>
          <w14:textFill>
            <w14:solidFill>
              <w14:schemeClr w14:val="tx1"/>
            </w14:solidFill>
          </w14:textFill>
        </w:rPr>
        <w:t xml:space="preserve">第六章 磋商文件的澄清或者修改</w:t>
      </w:r>
      <w:bookmarkEnd w:id="68"/>
      <w:r/>
      <w:bookmarkEnd w:id="69"/>
      <w:r/>
      <w:bookmarkEnd w:id="70"/>
      <w:r/>
      <w:bookmarkEnd w:id="71"/>
      <w:r/>
      <w:bookmarkEnd w:id="72"/>
      <w:r/>
      <w:bookmarkEnd w:id="73"/>
      <w:r/>
      <w:bookmarkEnd w:id="74"/>
      <w:r/>
      <w:bookmarkEnd w:id="75"/>
      <w:r/>
      <w:bookmarkEnd w:id="76"/>
      <w:r/>
      <w:bookmarkEnd w:id="77"/>
      <w:r/>
      <w:bookmarkEnd w:id="78"/>
      <w:r/>
      <w:r/>
    </w:p>
    <w:p>
      <w:pPr>
        <w:pStyle w:val="728"/>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一、《磋商文件》的澄清或者修改：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。发布本项目的“更正（澄清）公告”后采购代理机构已尽通知义务。敬请各潜在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关注本项目的“更正（澄清）公告”，并通过“苏采云”系统重新下载更正（澄清）后的采购文件（后缀名为“.kedt”），离线编制投标文件，否则，将自行承担相应的风险。</w:t>
      </w:r>
      <w:r/>
    </w:p>
    <w:p>
      <w:pPr>
        <w:pStyle w:val="996"/>
        <w:ind w:left="0" w:firstLine="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1"/>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9" w:name="_Toc21449"/>
      <w:r/>
      <w:bookmarkStart w:id="80" w:name="_Toc24692"/>
      <w:r/>
      <w:bookmarkStart w:id="81" w:name="_Toc21663"/>
      <w:r/>
      <w:bookmarkStart w:id="82" w:name="_Toc24021"/>
      <w:r/>
      <w:bookmarkStart w:id="83" w:name="_Toc31276"/>
      <w:r/>
      <w:bookmarkStart w:id="84" w:name="_Toc7515"/>
      <w:r/>
      <w:bookmarkStart w:id="85" w:name="_Toc31059"/>
      <w:r/>
      <w:bookmarkStart w:id="86" w:name="_Toc6980"/>
      <w:r/>
      <w:bookmarkStart w:id="87" w:name="_Toc29765"/>
      <w:r/>
      <w:bookmarkStart w:id="88" w:name="_Toc26635"/>
      <w:r/>
      <w:bookmarkStart w:id="89" w:name="_Toc8704"/>
      <w:r>
        <w:rPr>
          <w:rFonts w:hint="eastAsia" w:ascii="仿宋" w:hAnsi="仿宋" w:eastAsia="仿宋" w:cs="仿宋"/>
          <w:color w:val="000000" w:themeColor="text1"/>
          <w:sz w:val="30"/>
          <w:szCs w:val="30"/>
          <w:highlight w:val="none"/>
          <w14:textFill>
            <w14:solidFill>
              <w14:schemeClr w14:val="tx1"/>
            </w14:solidFill>
          </w14:textFill>
        </w:rPr>
        <w:t xml:space="preserve">第七章 询问和质疑</w:t>
      </w:r>
      <w:bookmarkEnd w:id="79"/>
      <w:r/>
      <w:bookmarkEnd w:id="80"/>
      <w:r/>
      <w:bookmarkEnd w:id="81"/>
      <w:r/>
      <w:bookmarkEnd w:id="82"/>
      <w:r/>
      <w:bookmarkEnd w:id="83"/>
      <w:r/>
      <w:bookmarkEnd w:id="84"/>
      <w:r/>
      <w:bookmarkEnd w:id="85"/>
      <w:r/>
      <w:bookmarkEnd w:id="86"/>
      <w:r/>
      <w:bookmarkEnd w:id="87"/>
      <w:r/>
      <w:bookmarkEnd w:id="88"/>
      <w:r/>
      <w:bookmarkEnd w:id="89"/>
      <w:r/>
      <w:r/>
    </w:p>
    <w:p>
      <w:pPr>
        <w:pStyle w:val="728"/>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一、询问和质疑：</w:t>
      </w:r>
      <w:r/>
    </w:p>
    <w:p>
      <w:pPr>
        <w:pStyle w:val="728"/>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28"/>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2、质疑和投诉按《政府采购质疑和投诉办法》执行。</w:t>
      </w:r>
      <w:r/>
    </w:p>
    <w:p>
      <w:pPr>
        <w:pStyle w:val="728"/>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3、供应商对同一采购程序环节的质疑应在质疑期内一次性提出。</w:t>
      </w:r>
      <w:r/>
    </w:p>
    <w:p>
      <w:pPr>
        <w:pStyle w:val="728"/>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4、接收质疑函的方式：供应商直接送交或供应商通过EMS邮寄。</w:t>
      </w:r>
      <w:r/>
    </w:p>
    <w:p>
      <w:pPr>
        <w:pStyle w:val="728"/>
        <w:ind w:firstLine="1200"/>
        <w:pageBreakBefore w:val="0"/>
        <w:spacing w:line="360" w:lineRule="auto"/>
        <w:widowControl/>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质疑接收人：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朱工</w:t>
      </w:r>
      <w:r>
        <w:rPr>
          <w:rFonts w:hint="eastAsia" w:ascii="仿宋" w:hAnsi="仿宋" w:eastAsia="仿宋" w:cs="仿宋"/>
          <w:color w:val="000000" w:themeColor="text1"/>
          <w:sz w:val="24"/>
          <w:highlight w:val="none"/>
          <w14:textFill>
            <w14:solidFill>
              <w14:schemeClr w14:val="tx1"/>
            </w14:solidFill>
          </w14:textFill>
        </w:rPr>
        <w:t xml:space="preserve">      联系电话：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13952265838</w:t>
      </w:r>
      <w:r/>
    </w:p>
    <w:p>
      <w:pPr>
        <w:pStyle w:val="728"/>
        <w:ind w:firstLine="120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徐州市绿地商务城蓝海D座5层</w:t>
      </w: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37"/>
        <w:rPr>
          <w:rFonts w:hint="eastAsia"/>
          <w:highlight w:val="none"/>
        </w:rPr>
      </w:pPr>
      <w:r>
        <w:rPr>
          <w:rFonts w:hint="eastAsia"/>
          <w:highlight w:val="none"/>
        </w:rPr>
      </w:r>
      <w:r/>
    </w:p>
    <w:p>
      <w:pPr>
        <w:pStyle w:val="741"/>
        <w:jc w:val="center"/>
        <w:pageBreakBefore w:val="0"/>
        <w:spacing w:line="360" w:lineRule="auto"/>
        <w:rPr>
          <w:rFonts w:hint="eastAsia" w:ascii="仿宋" w:hAnsi="仿宋" w:eastAsia="仿宋" w:cs="仿宋"/>
          <w:color w:val="000000" w:themeColor="text1"/>
          <w:sz w:val="30"/>
          <w:szCs w:val="30"/>
          <w:highlight w:val="none"/>
          <w:lang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联系方式</w:t>
      </w:r>
      <w:r/>
    </w:p>
    <w:p>
      <w:pPr>
        <w:pStyle w:val="726"/>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1.采购人信息</w:t>
      </w:r>
      <w:r/>
    </w:p>
    <w:p>
      <w:pPr>
        <w:pStyle w:val="726"/>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新沂市住房和城乡建设局</w:t>
      </w:r>
      <w:r/>
    </w:p>
    <w:p>
      <w:pPr>
        <w:pStyle w:val="726"/>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新沂市市府路37号</w:t>
      </w:r>
      <w:r/>
    </w:p>
    <w:p>
      <w:pPr>
        <w:pStyle w:val="726"/>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联系人：乔森</w:t>
      </w:r>
      <w:r/>
    </w:p>
    <w:p>
      <w:pPr>
        <w:pStyle w:val="726"/>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13815326261</w:t>
      </w:r>
      <w:r/>
    </w:p>
    <w:p>
      <w:pPr>
        <w:pStyle w:val="726"/>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2.采购代理机构信息</w:t>
      </w:r>
      <w:r/>
    </w:p>
    <w:p>
      <w:pPr>
        <w:pStyle w:val="726"/>
        <w:ind w:firstLine="480"/>
        <w:keepLines w:val="0"/>
        <w:keepNext w:val="0"/>
        <w:pageBreakBefore w:val="0"/>
        <w:spacing w:line="360" w:lineRule="auto"/>
        <w:rPr>
          <w:rFonts w:hint="eastAsia" w:ascii="仿宋" w:hAnsi="仿宋" w:eastAsia="仿宋" w:cs="仿宋"/>
          <w:color w:val="000000" w:themeColor="text1"/>
          <w:sz w:val="24"/>
          <w:szCs w:val="24"/>
          <w:highlight w:val="none"/>
          <w:lang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中鸿亿博集团有限公司</w:t>
      </w:r>
      <w:r/>
    </w:p>
    <w:p>
      <w:pPr>
        <w:pStyle w:val="726"/>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徐州市绿地商务城蓝海D座5层</w:t>
      </w: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26"/>
        <w:ind w:firstLine="480"/>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朱工</w:t>
      </w:r>
      <w:r/>
    </w:p>
    <w:p>
      <w:pPr>
        <w:pStyle w:val="726"/>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联系方式：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13952265838</w:t>
      </w:r>
      <w:r/>
    </w:p>
    <w:p>
      <w:pPr>
        <w:pStyle w:val="741"/>
        <w:ind w:firstLine="482"/>
        <w:pageBreakBefore w:val="0"/>
        <w:spacing w:before="0" w:after="0"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90" w:name="_Toc30822"/>
      <w:r/>
      <w:bookmarkStart w:id="91" w:name="_Toc31"/>
      <w:r/>
      <w:bookmarkStart w:id="92" w:name="_Toc1807"/>
      <w:r/>
      <w:bookmarkStart w:id="93" w:name="_Toc25097"/>
      <w:r/>
      <w:bookmarkStart w:id="94" w:name="_Toc28238"/>
      <w:r/>
      <w:bookmarkStart w:id="95" w:name="_Toc21146"/>
      <w:r/>
      <w:bookmarkStart w:id="96" w:name="_Toc4671"/>
      <w:r/>
      <w:bookmarkStart w:id="97" w:name="_Toc23683"/>
      <w:r/>
      <w:bookmarkStart w:id="98" w:name="_Toc12825"/>
      <w:r/>
      <w:bookmarkStart w:id="99" w:name="_Toc21113"/>
      <w:r/>
      <w:bookmarkStart w:id="100" w:name="_Toc13230"/>
      <w:r/>
      <w:bookmarkStart w:id="101" w:name="_Toc18729"/>
      <w:r/>
      <w:bookmarkStart w:id="102" w:name="_Toc6628"/>
      <w:r/>
      <w:bookmarkStart w:id="103" w:name="_Toc31547"/>
      <w:r/>
      <w:bookmarkStart w:id="104" w:name="_Toc18403"/>
      <w:r/>
      <w:bookmarkStart w:id="105" w:name="_Toc27653"/>
      <w:r/>
      <w:bookmarkStart w:id="106" w:name="_Toc1369"/>
      <w:r/>
      <w:bookmarkStart w:id="107" w:name="_Toc10229"/>
      <w:r>
        <w:rPr>
          <w:rFonts w:hint="eastAsia" w:ascii="仿宋" w:hAnsi="仿宋" w:eastAsia="仿宋" w:cs="仿宋"/>
          <w:color w:val="000000" w:themeColor="text1"/>
          <w:szCs w:val="28"/>
          <w:highlight w:val="none"/>
          <w:lang w:eastAsia="zh-CN"/>
          <w14:textFill>
            <w14:solidFill>
              <w14:schemeClr w14:val="tx1"/>
            </w14:solidFill>
          </w14:textFill>
        </w:rPr>
        <w:t xml:space="preserve">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728"/>
        <w:ind w:firstLine="47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附件：附后</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1、《评分细则》</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2、《采购需求》</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3、《磋商报价表》</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分项报价表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5、《偏离表》</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6、《承诺书》</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7、《法人授权委托书》</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8、《供应商参加政府采购活动前3年内在经营活动中没有重大违法记录的书面声明》</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9. 《具备履行合同所必需的设备和专业技术能力的书面声明》</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10、《中小企业声明函》</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11、《残疾人福利性单位声明函》</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12、《技术方案》</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4"/>
          <w:highlight w:val="none"/>
          <w14:textFill>
            <w14:solidFill>
              <w14:schemeClr w14:val="tx1"/>
            </w14:solidFill>
          </w14:textFill>
        </w:rPr>
        <w:t xml:space="preserve">《拟签订的合同文本》</w:t>
      </w:r>
      <w:r/>
    </w:p>
    <w:p>
      <w:pPr>
        <w:pStyle w:val="97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7"/>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7"/>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7"/>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7"/>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7"/>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7"/>
        <w:numPr>
          <w:ilvl w:val="0"/>
          <w:numId w:val="0"/>
        </w:numPr>
        <w:ind w:right="6"/>
        <w:jc w:val="both"/>
        <w:pageBreakBefore w:val="0"/>
        <w:spacing w:line="360" w:lineRule="auto"/>
        <w:rPr>
          <w:rStyle w:val="905"/>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737"/>
        <w:numPr>
          <w:ilvl w:val="0"/>
          <w:numId w:val="0"/>
        </w:numPr>
        <w:ind w:right="6"/>
        <w:jc w:val="both"/>
        <w:pageBreakBefore w:val="0"/>
        <w:spacing w:line="360" w:lineRule="auto"/>
        <w:rPr>
          <w:rStyle w:val="905"/>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Fonts w:hint="eastAsia" w:ascii="仿宋" w:hAnsi="仿宋" w:eastAsia="仿宋" w:cs="仿宋"/>
          <w:highlight w:val="none"/>
          <w:lang w:val="en-US"/>
        </w:rPr>
      </w:pPr>
      <w:r>
        <w:rPr>
          <w:rFonts w:hint="eastAsia" w:ascii="仿宋" w:hAnsi="仿宋" w:eastAsia="仿宋" w:cs="仿宋"/>
          <w:highlight w:val="none"/>
          <w:lang w:val="en-US"/>
        </w:rPr>
      </w:r>
      <w:r/>
    </w:p>
    <w:p>
      <w:pPr>
        <w:pStyle w:val="737"/>
        <w:numPr>
          <w:ilvl w:val="0"/>
          <w:numId w:val="0"/>
        </w:numPr>
        <w:ind w:right="6"/>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7"/>
        <w:numPr>
          <w:ilvl w:val="0"/>
          <w:numId w:val="0"/>
        </w:numPr>
        <w:ind w:right="6"/>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Style w:val="905"/>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905"/>
          <w:rFonts w:hint="eastAsia" w:ascii="仿宋" w:hAnsi="仿宋" w:eastAsia="仿宋" w:cs="仿宋"/>
          <w:color w:val="000000" w:themeColor="text1"/>
          <w:sz w:val="24"/>
          <w:szCs w:val="24"/>
          <w:highlight w:val="none"/>
          <w14:textFill>
            <w14:solidFill>
              <w14:schemeClr w14:val="tx1"/>
            </w14:solidFill>
          </w14:textFill>
        </w:rPr>
        <w:t xml:space="preserve">评分细则</w:t>
      </w:r>
      <w:r/>
    </w:p>
    <w:tbl>
      <w:tblPr>
        <w:tblStyle w:val="687"/>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75"/>
        <w:gridCol w:w="6225"/>
      </w:tblGrid>
      <w:tr>
        <w:trPr>
          <w:jc w:val="center"/>
          <w:trHeight w:val="341"/>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pStyle w:val="969"/>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8300" w:type="dxa"/>
            <w:textDirection w:val="lrTb"/>
            <w:noWrap w:val="false"/>
          </w:tcPr>
          <w:p>
            <w:pPr>
              <w:pStyle w:val="969"/>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价格部分</w:t>
            </w:r>
            <w:r/>
          </w:p>
          <w:p>
            <w:pPr>
              <w:jc w:val="center"/>
              <w:pageBreakBefore w:val="0"/>
              <w:spacing w:line="36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969"/>
              <w:jc w:val="center"/>
              <w:pageBreakBefore w:val="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价格</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分</w:t>
            </w:r>
            <w:r/>
          </w:p>
          <w:p>
            <w:pPr>
              <w:pStyle w:val="969"/>
              <w:jc w:val="center"/>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分</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969"/>
              <w:jc w:val="both"/>
              <w:keepLines w:val="0"/>
              <w:keepNext w:val="0"/>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本项目价格评分采用低价优先法计算，即满足</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2"/>
                <w:szCs w:val="22"/>
                <w:highlight w:val="none"/>
                <w14:textFill>
                  <w14:solidFill>
                    <w14:schemeClr w14:val="tx1"/>
                  </w14:solidFill>
                </w14:textFill>
              </w:rPr>
              <w:t xml:space="preserve">文件要求且投标价格最低的有效投标报价为评标基准价，其价格分为满分。</w:t>
            </w:r>
            <w:r/>
          </w:p>
          <w:p>
            <w:pPr>
              <w:pStyle w:val="969"/>
              <w:jc w:val="both"/>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其他供应商报价得分：投标报价得分=(评标基准价／投标报价)×</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（四舍五入后保留小数点后两位） </w:t>
            </w:r>
            <w:r/>
          </w:p>
        </w:tc>
      </w:tr>
      <w:tr>
        <w:trPr>
          <w:jc w:val="center"/>
          <w:trHeight w:val="1622"/>
        </w:trPr>
        <w:tc>
          <w:tcPr>
            <w:tcBorders>
              <w:top w:val="single" w:color="auto" w:sz="4" w:space="0"/>
              <w:left w:val="single" w:color="auto" w:sz="4" w:space="0"/>
              <w:right w:val="single" w:color="auto" w:sz="4" w:space="0"/>
            </w:tcBorders>
            <w:tcW w:w="760" w:type="dxa"/>
            <w:vAlign w:val="center"/>
            <w:vMerge w:val="restart"/>
            <w:textDirection w:val="lrTb"/>
            <w:noWrap w:val="false"/>
          </w:tcPr>
          <w:p>
            <w:pPr>
              <w:pStyle w:val="969"/>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969"/>
              <w:jc w:val="center"/>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商务</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部分</w:t>
            </w:r>
            <w:r/>
          </w:p>
          <w:p>
            <w:pPr>
              <w:jc w:val="center"/>
              <w:pageBreakBefore w:val="0"/>
              <w:spacing w:line="360" w:lineRule="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7分）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969"/>
              <w:ind w:firstLine="440"/>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969"/>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类似</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业绩</w:t>
            </w:r>
            <w:r/>
          </w:p>
          <w:p>
            <w:pPr>
              <w:pStyle w:val="969"/>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02"/>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投标供应商</w:t>
            </w:r>
            <w:r>
              <w:rPr>
                <w:rFonts w:hint="eastAsia" w:ascii="仿宋" w:hAnsi="仿宋" w:eastAsia="仿宋" w:cs="仿宋"/>
                <w:color w:val="000000" w:themeColor="text1"/>
                <w:sz w:val="22"/>
                <w:szCs w:val="22"/>
                <w:highlight w:val="none"/>
                <w14:textFill>
                  <w14:solidFill>
                    <w14:schemeClr w14:val="tx1"/>
                  </w14:solidFill>
                </w14:textFill>
              </w:rPr>
              <w:t xml:space="preserve">承接过类似项目</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的业绩证明材料</w:t>
            </w:r>
            <w:r>
              <w:rPr>
                <w:rFonts w:hint="eastAsia" w:ascii="仿宋" w:hAnsi="仿宋" w:eastAsia="仿宋" w:cs="仿宋"/>
                <w:color w:val="000000" w:themeColor="text1"/>
                <w:sz w:val="22"/>
                <w:szCs w:val="22"/>
                <w:highlight w:val="none"/>
                <w14:textFill>
                  <w14:solidFill>
                    <w14:schemeClr w14:val="tx1"/>
                  </w14:solidFill>
                </w14:textFill>
              </w:rPr>
              <w:t xml:space="preserve">，每提供一个得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2"/>
                <w:szCs w:val="22"/>
                <w:highlight w:val="none"/>
                <w14:textFill>
                  <w14:solidFill>
                    <w14:schemeClr w14:val="tx1"/>
                  </w14:solidFill>
                </w14:textFill>
              </w:rPr>
              <w:t xml:space="preserve">分，最多得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2"/>
                <w:szCs w:val="22"/>
                <w:highlight w:val="none"/>
                <w14:textFill>
                  <w14:solidFill>
                    <w14:schemeClr w14:val="tx1"/>
                  </w14:solidFill>
                </w14:textFill>
              </w:rPr>
              <w:t xml:space="preserve">分；（提供</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中标通知书、施工</w:t>
            </w:r>
            <w:r>
              <w:rPr>
                <w:rFonts w:hint="eastAsia" w:ascii="仿宋" w:hAnsi="仿宋" w:eastAsia="仿宋" w:cs="仿宋"/>
                <w:color w:val="000000" w:themeColor="text1"/>
                <w:sz w:val="22"/>
                <w:szCs w:val="22"/>
                <w:highlight w:val="none"/>
                <w14:textFill>
                  <w14:solidFill>
                    <w14:schemeClr w14:val="tx1"/>
                  </w14:solidFill>
                </w14:textFill>
              </w:rPr>
              <w:t xml:space="preserve">合同</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及竣工验收证明原</w:t>
            </w:r>
            <w:r>
              <w:rPr>
                <w:rFonts w:hint="eastAsia" w:ascii="仿宋" w:hAnsi="仿宋" w:eastAsia="仿宋" w:cs="仿宋"/>
                <w:color w:val="000000" w:themeColor="text1"/>
                <w:sz w:val="22"/>
                <w:szCs w:val="22"/>
                <w:highlight w:val="none"/>
                <w14:textFill>
                  <w14:solidFill>
                    <w14:schemeClr w14:val="tx1"/>
                  </w14:solidFill>
                </w14:textFill>
              </w:rPr>
              <w:t xml:space="preserve">件</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扫描上传并</w:t>
            </w:r>
            <w:r>
              <w:rPr>
                <w:rFonts w:hint="eastAsia" w:ascii="仿宋" w:hAnsi="仿宋" w:eastAsia="仿宋" w:cs="仿宋"/>
                <w:color w:val="000000" w:themeColor="text1"/>
                <w:sz w:val="22"/>
                <w:szCs w:val="22"/>
                <w:highlight w:val="none"/>
                <w14:textFill>
                  <w14:solidFill>
                    <w14:schemeClr w14:val="tx1"/>
                  </w14:solidFill>
                </w14:textFill>
              </w:rPr>
              <w:t xml:space="preserve">加盖</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电子签章，三者必须同时具备，否则不得分</w:t>
            </w:r>
            <w:r>
              <w:rPr>
                <w:rFonts w:hint="eastAsia" w:ascii="仿宋" w:hAnsi="仿宋" w:eastAsia="仿宋" w:cs="仿宋"/>
                <w:color w:val="000000" w:themeColor="text1"/>
                <w:sz w:val="22"/>
                <w:szCs w:val="22"/>
                <w:highlight w:val="none"/>
                <w14:textFill>
                  <w14:solidFill>
                    <w14:schemeClr w14:val="tx1"/>
                  </w14:solidFill>
                </w14:textFill>
              </w:rPr>
              <w:t xml:space="preserve">）</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r>
      <w:tr>
        <w:trPr>
          <w:jc w:val="center"/>
          <w:trHeight w:val="1634"/>
        </w:trPr>
        <w:tc>
          <w:tcPr>
            <w:tcBorders>
              <w:left w:val="single" w:color="auto" w:sz="4" w:space="0"/>
              <w:right w:val="single" w:color="auto" w:sz="4" w:space="0"/>
            </w:tcBorders>
            <w:tcW w:w="760" w:type="dxa"/>
            <w:vAlign w:val="center"/>
            <w:vMerge w:val="continue"/>
            <w:textDirection w:val="lrTb"/>
            <w:noWrap w:val="false"/>
          </w:tcPr>
          <w:p>
            <w:pPr>
              <w:jc w:val="center"/>
              <w:pageBreakBefore w:val="0"/>
              <w:spacing w:line="360" w:lineRule="auto"/>
              <w:rPr>
                <w:rFonts w:hint="eastAsia" w:ascii="仿宋" w:hAnsi="仿宋" w:eastAsia="仿宋" w:cs="仿宋"/>
                <w:b w:val="0"/>
                <w:bCs w:val="0"/>
                <w:color w:val="000000" w:themeColor="text1"/>
                <w:sz w:val="22"/>
                <w:szCs w:val="22"/>
                <w:highlight w:val="none"/>
                <w:lang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969"/>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综合实力</w:t>
            </w:r>
            <w:r/>
          </w:p>
          <w:p>
            <w:pPr>
              <w:pStyle w:val="969"/>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numPr>
                <w:ilvl w:val="0"/>
                <w:numId w:val="0"/>
              </w:numPr>
              <w:ind w:left="0" w:right="0"/>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rPr>
              <w:suppressLineNumbers w:val="0"/>
            </w:pPr>
            <w:r>
              <w:rPr>
                <w:rFonts w:hint="eastAsia" w:ascii="仿宋" w:hAnsi="仿宋" w:eastAsia="仿宋" w:cs="仿宋"/>
                <w:b w:val="0"/>
                <w:bCs w:val="0"/>
                <w:color w:val="000000"/>
                <w:sz w:val="22"/>
                <w:szCs w:val="22"/>
                <w:highlight w:val="none"/>
                <w:lang w:val="en-US" w:eastAsia="zh-CN"/>
              </w:rPr>
              <w:t xml:space="preserve">供应商具有有效期内的</w:t>
            </w:r>
            <w:r>
              <w:rPr>
                <w:rFonts w:hint="eastAsia" w:ascii="仿宋" w:hAnsi="仿宋" w:eastAsia="仿宋" w:cs="仿宋"/>
                <w:b w:val="0"/>
                <w:bCs w:val="0"/>
                <w:color w:val="000000"/>
                <w:sz w:val="22"/>
                <w:szCs w:val="22"/>
                <w:highlight w:val="none"/>
              </w:rPr>
              <w:t xml:space="preserve">质量管理体系认证证书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环境管理体系认证证书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职业健康安全体系认证证书</w:t>
            </w:r>
            <w:r>
              <w:rPr>
                <w:rFonts w:hint="eastAsia" w:ascii="仿宋" w:hAnsi="仿宋" w:eastAsia="仿宋" w:cs="仿宋"/>
                <w:b w:val="0"/>
                <w:bCs w:val="0"/>
                <w:color w:val="000000"/>
                <w:sz w:val="22"/>
                <w:szCs w:val="22"/>
                <w:highlight w:val="none"/>
                <w:lang w:val="en-US" w:eastAsia="zh-CN"/>
              </w:rPr>
              <w:t xml:space="preserve">的，每提供一个认证证书得1分，本项最多得3分。</w:t>
            </w:r>
            <w:r/>
          </w:p>
          <w:p>
            <w:pPr>
              <w:ind w:left="0" w:right="0" w:firstLine="0"/>
              <w:jc w:val="both"/>
              <w:spacing w:before="0" w:after="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注：</w:t>
            </w:r>
            <w:r>
              <w:rPr>
                <w:rFonts w:hint="eastAsia" w:ascii="仿宋" w:hAnsi="仿宋" w:eastAsia="仿宋" w:cs="仿宋"/>
                <w:color w:val="000000"/>
                <w:sz w:val="22"/>
                <w:highlight w:val="none"/>
              </w:rPr>
              <w:t xml:space="preserve">提供证明材料的原件扫描件上传加盖电子签章。</w:t>
            </w:r>
            <w:r/>
          </w:p>
        </w:tc>
      </w:tr>
      <w:tr>
        <w:trPr>
          <w:jc w:val="center"/>
          <w:trHeight w:val="425"/>
        </w:trPr>
        <w:tc>
          <w:tcPr>
            <w:tcBorders>
              <w:top w:val="single" w:color="auto" w:sz="4" w:space="0"/>
              <w:left w:val="single" w:color="auto" w:sz="4" w:space="0"/>
              <w:right w:val="single" w:color="auto" w:sz="4" w:space="0"/>
            </w:tcBorders>
            <w:tcW w:w="760" w:type="dxa"/>
            <w:vMerge w:val="restart"/>
            <w:textDirection w:val="lrTb"/>
            <w:noWrap w:val="false"/>
          </w:tcPr>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69"/>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（83分）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28"/>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总体施工方案</w:t>
            </w:r>
            <w:r/>
          </w:p>
          <w:p>
            <w:pPr>
              <w:pStyle w:val="728"/>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根据供应商提供的总体施工方案</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工程总体概述、针对重点部分施工方案及施工工艺方法等方面进行总体评价。</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:4分；</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28"/>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工期横道图（10分）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根据供应商提供的绿化工程工期横道图及进度安排，从横道图编制合理性、施工进度可执行性、季节性施工管控有效性等方面进行总体评价。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28"/>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施工进度计划及保证措施</w:t>
            </w:r>
            <w:r/>
          </w:p>
          <w:p>
            <w:pPr>
              <w:pStyle w:val="728"/>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w:t>
            </w:r>
            <w:r>
              <w:rPr>
                <w:rFonts w:hint="eastAsia" w:ascii="仿宋" w:hAnsi="仿宋" w:eastAsia="仿宋" w:cs="仿宋"/>
                <w:color w:val="auto"/>
                <w:sz w:val="22"/>
                <w:szCs w:val="22"/>
                <w:highlight w:val="none"/>
                <w:lang w:val="en-US" w:eastAsia="zh-CN"/>
              </w:rPr>
              <w:t xml:space="preserve">的施工进度计划及保证措施中</w:t>
            </w:r>
            <w:r>
              <w:rPr>
                <w:rFonts w:hint="eastAsia" w:ascii="仿宋" w:hAnsi="仿宋" w:eastAsia="仿宋" w:cs="仿宋"/>
                <w:color w:val="auto"/>
                <w:sz w:val="22"/>
                <w:szCs w:val="22"/>
                <w:highlight w:val="none"/>
              </w:rPr>
              <w:t xml:space="preserve">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28"/>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28"/>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施工质量保证</w:t>
            </w:r>
            <w:r>
              <w:rPr>
                <w:rFonts w:hint="eastAsia" w:ascii="仿宋" w:hAnsi="仿宋" w:eastAsia="仿宋" w:cs="仿宋"/>
                <w:color w:val="auto"/>
                <w:sz w:val="22"/>
                <w:szCs w:val="22"/>
                <w:highlight w:val="none"/>
                <w:lang w:val="en-US" w:eastAsia="zh-CN"/>
              </w:rPr>
              <w:t xml:space="preserve">措施</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w:t>
            </w:r>
            <w:r>
              <w:rPr>
                <w:rFonts w:hint="eastAsia" w:ascii="仿宋" w:hAnsi="仿宋" w:eastAsia="仿宋" w:cs="仿宋"/>
                <w:color w:val="auto"/>
                <w:sz w:val="22"/>
                <w:szCs w:val="22"/>
                <w:highlight w:val="none"/>
                <w:lang w:val="en-US" w:eastAsia="zh-CN"/>
              </w:rPr>
              <w:t xml:space="preserve">施工</w:t>
            </w:r>
            <w:r>
              <w:rPr>
                <w:rFonts w:hint="eastAsia" w:ascii="仿宋" w:hAnsi="仿宋" w:eastAsia="仿宋" w:cs="仿宋"/>
                <w:color w:val="auto"/>
                <w:sz w:val="22"/>
                <w:szCs w:val="22"/>
                <w:highlight w:val="none"/>
              </w:rPr>
              <w:t xml:space="preserve">质量保证措施</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28"/>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28"/>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项目管理班子人员配备、素质及管理经验</w:t>
            </w:r>
            <w:r/>
          </w:p>
          <w:p>
            <w:pPr>
              <w:pStyle w:val="728"/>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28"/>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28"/>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关键施工技术、工艺及工程项目实施的重点、难点和解决方案</w:t>
            </w:r>
            <w:r/>
          </w:p>
          <w:p>
            <w:pPr>
              <w:pStyle w:val="728"/>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28"/>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3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28"/>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安全文明施工方案（10分）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根据供应商提供的安全文明施工</w:t>
            </w:r>
            <w:r>
              <w:rPr>
                <w:rFonts w:hint="eastAsia" w:ascii="仿宋" w:hAnsi="仿宋" w:eastAsia="仿宋" w:cs="仿宋"/>
                <w:color w:val="auto"/>
                <w:sz w:val="22"/>
                <w:szCs w:val="22"/>
                <w:highlight w:val="none"/>
                <w:lang w:val="en-US" w:eastAsia="zh-CN"/>
              </w:rPr>
              <w:t xml:space="preserve">方案</w:t>
            </w:r>
            <w:r>
              <w:rPr>
                <w:rFonts w:hint="eastAsia" w:ascii="仿宋" w:hAnsi="仿宋" w:eastAsia="仿宋" w:cs="仿宋"/>
                <w:color w:val="auto"/>
                <w:sz w:val="22"/>
                <w:szCs w:val="22"/>
                <w:highlight w:val="none"/>
              </w:rPr>
              <w:t xml:space="preserve">中安全生产管理措施、文明施工管理措施、环境保护措施等方面进行总体评价。</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ind w:left="0" w:right="0" w:firstLine="0"/>
              <w:jc w:val="center"/>
              <w:keepLines w:val="0"/>
              <w:keepNext w:val="0"/>
              <w:pageBreakBefore w:val="0"/>
              <w:spacing w:before="240" w:after="240" w:line="360" w:lineRule="auto"/>
              <w:rPr>
                <w:rFonts w:hint="eastAsia" w:ascii="仿宋" w:hAnsi="仿宋" w:eastAsia="仿宋" w:cs="仿宋"/>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后期维保方案及措施</w:t>
            </w:r>
            <w:r/>
          </w:p>
          <w:p>
            <w:pPr>
              <w:pStyle w:val="728"/>
              <w:jc w:val="center"/>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根据供应商提供的绿化工程质保期养护方案及措施，从日常养护内容及范围、养护人员配备、养护机械设备配备、苗木补植与备品备件配备等方面进行总体评价。</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28"/>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28"/>
              <w:jc w:val="left"/>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731"/>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 xml:space="preserve">。</w:t>
      </w:r>
      <w:r/>
    </w:p>
    <w:p>
      <w:pPr>
        <w:pStyle w:val="728"/>
        <w:numPr>
          <w:ilvl w:val="0"/>
          <w:numId w:val="0"/>
        </w:numPr>
        <w:ind w:left="0" w:firstLine="0"/>
        <w:jc w:val="center"/>
        <w:pageBreakBefore w:val="0"/>
        <w:spacing w:line="360" w:lineRule="auto"/>
        <w:widowControl/>
        <w:rPr>
          <w:rStyle w:val="905"/>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Style w:val="905"/>
          <w:rFonts w:hint="eastAsia" w:ascii="仿宋" w:hAnsi="仿宋" w:eastAsia="仿宋" w:cs="仿宋"/>
          <w:color w:val="000000" w:themeColor="text1"/>
          <w:sz w:val="24"/>
          <w:szCs w:val="24"/>
          <w:highlight w:val="none"/>
          <w:lang w:val="en-US"/>
          <w14:textFill>
            <w14:solidFill>
              <w14:schemeClr w14:val="tx1"/>
            </w14:solidFill>
          </w14:textFill>
        </w:rPr>
      </w:pPr>
      <w:r>
        <w:rPr>
          <w:rStyle w:val="905"/>
          <w:rFonts w:hint="eastAsia" w:ascii="仿宋" w:hAnsi="仿宋" w:eastAsia="仿宋" w:cs="仿宋"/>
          <w:color w:val="000000" w:themeColor="text1"/>
          <w:sz w:val="24"/>
          <w:szCs w:val="24"/>
          <w:highlight w:val="none"/>
          <w:lang w:val="en-US"/>
          <w14:textFill>
            <w14:solidFill>
              <w14:schemeClr w14:val="tx1"/>
            </w14:solidFill>
          </w14:textFill>
        </w:rPr>
        <w:br w:type="page" w:clear="all"/>
      </w:r>
      <w:r/>
    </w:p>
    <w:p>
      <w:pPr>
        <w:pStyle w:val="728"/>
        <w:numPr>
          <w:ilvl w:val="0"/>
          <w:numId w:val="0"/>
        </w:numPr>
        <w:ind w:left="0" w:firstLine="0"/>
        <w:jc w:val="center"/>
        <w:pageBreakBefore w:val="0"/>
        <w:spacing w:line="360" w:lineRule="auto"/>
        <w:widowControl/>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Style w:val="905"/>
          <w:rFonts w:hint="eastAsia" w:ascii="仿宋" w:hAnsi="仿宋" w:eastAsia="仿宋" w:cs="仿宋"/>
          <w:color w:val="000000" w:themeColor="text1"/>
          <w:sz w:val="24"/>
          <w:szCs w:val="24"/>
          <w:highlight w:val="none"/>
          <w:lang w:val="en-US"/>
          <w14:textFill>
            <w14:solidFill>
              <w14:schemeClr w14:val="tx1"/>
            </w14:solidFill>
          </w14:textFill>
        </w:rPr>
        <w:t xml:space="preserve">2、</w:t>
      </w:r>
      <w:bookmarkStart w:id="108" w:name="OLE_LINK1"/>
      <w:r>
        <w:rPr>
          <w:rStyle w:val="905"/>
          <w:rFonts w:hint="eastAsia" w:ascii="仿宋" w:hAnsi="仿宋" w:eastAsia="仿宋" w:cs="仿宋"/>
          <w:color w:val="000000" w:themeColor="text1"/>
          <w:sz w:val="24"/>
          <w:szCs w:val="24"/>
          <w:highlight w:val="none"/>
          <w14:textFill>
            <w14:solidFill>
              <w14:schemeClr w14:val="tx1"/>
            </w14:solidFill>
          </w14:textFill>
        </w:rPr>
        <w:t xml:space="preserve">采购需求</w:t>
      </w:r>
      <w:r/>
    </w:p>
    <w:p>
      <w:pPr>
        <w:pStyle w:val="911"/>
        <w:ind w:firstLine="482"/>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一、</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本项目总预算金额为313万元，</w:t>
      </w:r>
      <w:r/>
    </w:p>
    <w:p>
      <w:pPr>
        <w:ind w:firstLine="482"/>
        <w:spacing w:line="360" w:lineRule="auto"/>
        <w:rPr>
          <w:rFonts w:hint="eastAsia" w:ascii="仿宋" w:hAnsi="仿宋" w:eastAsia="仿宋" w:cs="仿宋"/>
          <w:b/>
          <w:bCs/>
          <w:sz w:val="24"/>
          <w:szCs w:val="24"/>
          <w:highlight w:val="none"/>
          <w:lang w:val="en-US" w:eastAsia="zh-CN"/>
        </w:rPr>
        <w:outlineLvl w:val="9"/>
      </w:pPr>
      <w:r>
        <w:rPr>
          <w:rFonts w:hint="eastAsia" w:ascii="仿宋" w:hAnsi="仿宋" w:eastAsia="仿宋" w:cs="仿宋"/>
          <w:b/>
          <w:bCs/>
          <w:sz w:val="24"/>
          <w:highlight w:val="none"/>
        </w:rPr>
        <w:t xml:space="preserve">不接受超过预算金额的磋商报价。</w:t>
      </w:r>
      <w:r>
        <w:rPr>
          <w:rFonts w:hint="eastAsia" w:ascii="仿宋" w:hAnsi="仿宋" w:eastAsia="仿宋" w:cs="仿宋"/>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sz w:val="24"/>
          <w:highlight w:val="none"/>
          <w:lang w:eastAsia="zh-CN"/>
        </w:rPr>
        <w:t xml:space="preserve">相关</w:t>
      </w:r>
      <w:r>
        <w:rPr>
          <w:rFonts w:hint="eastAsia" w:ascii="仿宋" w:hAnsi="仿宋" w:eastAsia="仿宋" w:cs="仿宋"/>
          <w:sz w:val="24"/>
          <w:highlight w:val="none"/>
        </w:rPr>
        <w:t xml:space="preserve">费用。</w:t>
      </w:r>
      <w:r>
        <w:rPr>
          <w:rFonts w:hint="eastAsia" w:ascii="仿宋" w:hAnsi="仿宋" w:eastAsia="仿宋" w:cs="仿宋"/>
          <w:b/>
          <w:bCs/>
          <w:sz w:val="24"/>
          <w:szCs w:val="24"/>
          <w:highlight w:val="none"/>
          <w:lang w:val="en-US" w:eastAsia="zh-CN"/>
        </w:rPr>
        <w:t xml:space="preserve">采购人不支付报价以外的任何费用。</w:t>
      </w:r>
      <w:r/>
    </w:p>
    <w:p>
      <w:pPr>
        <w:pStyle w:val="911"/>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二、项目概况：</w:t>
      </w:r>
      <w:r/>
    </w:p>
    <w:p>
      <w:pPr>
        <w:pStyle w:val="911"/>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临沭路口袋公园工程项目。</w:t>
      </w:r>
      <w:r/>
    </w:p>
    <w:p>
      <w:pPr>
        <w:pStyle w:val="969"/>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eastAsia="仿宋" w:cs="仿宋"/>
          <w:color w:val="000000" w:themeColor="text1"/>
          <w:highlight w:val="none"/>
          <w14:textFill>
            <w14:solidFill>
              <w14:schemeClr w14:val="tx1"/>
            </w14:solidFill>
          </w14:textFill>
        </w:rPr>
        <w:t xml:space="preserve">本项目主要内容：</w:t>
      </w:r>
      <w:r>
        <w:rPr>
          <w:rFonts w:hint="eastAsia" w:ascii="仿宋" w:hAnsi="仿宋" w:eastAsia="仿宋" w:cs="仿宋"/>
          <w:color w:val="000000" w:themeColor="text1"/>
          <w:sz w:val="24"/>
          <w:highlight w:val="none"/>
          <w:lang w:eastAsia="zh-CN"/>
          <w14:textFill>
            <w14:solidFill>
              <w14:schemeClr w14:val="tx1"/>
            </w14:solidFill>
          </w14:textFill>
        </w:rPr>
        <w:t xml:space="preserve">临沭路口袋公园工程项目，项目地点位于新沂市，主要</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对对临沭路东侧沿线及未拆除围墙内地块进行口袋公园小微绿地建设，具体详见招标工程量清单所含全部内容</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969"/>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3、工程地点：徐州市新沂市  </w:t>
      </w:r>
      <w:r/>
    </w:p>
    <w:p>
      <w:pPr>
        <w:pStyle w:val="969"/>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w:t>
      </w:r>
      <w:r>
        <w:rPr>
          <w:rFonts w:hint="eastAsia" w:ascii="仿宋" w:hAnsi="仿宋" w:eastAsia="仿宋" w:cs="仿宋"/>
          <w:color w:val="auto"/>
          <w:sz w:val="24"/>
          <w:szCs w:val="24"/>
          <w:highlight w:val="none"/>
          <w:lang w:val="en-US" w:eastAsia="zh-CN" w:bidi="ar-SA"/>
        </w:rPr>
        <w:t xml:space="preserve">要求工期：60日历天。 </w:t>
      </w:r>
      <w:r>
        <w:rPr>
          <w:rFonts w:hint="eastAsia" w:ascii="仿宋" w:hAnsi="仿宋" w:eastAsia="仿宋" w:cs="仿宋"/>
          <w:color w:val="000000" w:themeColor="text1"/>
          <w:sz w:val="24"/>
          <w:highlight w:val="none"/>
          <w:lang w:eastAsia="zh-CN"/>
          <w14:textFill>
            <w14:solidFill>
              <w14:schemeClr w14:val="tx1"/>
            </w14:solidFill>
          </w14:textFill>
        </w:rPr>
        <w:t xml:space="preserve">   </w:t>
      </w:r>
      <w:r/>
    </w:p>
    <w:p>
      <w:pPr>
        <w:pStyle w:val="911"/>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lang w:eastAsia="zh-CN"/>
          <w14:textFill>
            <w14:solidFill>
              <w14:schemeClr w14:val="tx1"/>
            </w14:solidFill>
          </w14:textFill>
        </w:rPr>
        <w:t xml:space="preserve">、质量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：“合格”</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符合现行国家技术、施工及验收规范规程</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确保一次性通过相关部门的竣工验收，未达到质量要求的，承包人负责无条件返工，直至达到要求，所发生的费用由承包人承担，承包人还应赔偿因此给发包人造成的损失。</w:t>
      </w:r>
      <w:r/>
    </w:p>
    <w:p>
      <w:pPr>
        <w:pStyle w:val="911"/>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施工工艺的特殊要求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按国家有关规定执行</w:t>
      </w:r>
      <w:r>
        <w:rPr>
          <w:rFonts w:hint="eastAsia" w:ascii="仿宋" w:hAnsi="仿宋" w:eastAsia="仿宋" w:cs="仿宋"/>
          <w:b w:val="0"/>
          <w:bCs w:val="0"/>
          <w:color w:val="auto"/>
          <w:sz w:val="24"/>
          <w:szCs w:val="24"/>
          <w:highlight w:val="none"/>
          <w:lang w:eastAsia="zh-CN"/>
        </w:rPr>
        <w:t xml:space="preserve">。</w:t>
      </w:r>
      <w:r/>
    </w:p>
    <w:p>
      <w:pPr>
        <w:pStyle w:val="911"/>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lang w:eastAsia="zh-CN"/>
          <w14:textFill>
            <w14:solidFill>
              <w14:schemeClr w14:val="tx1"/>
            </w14:solidFill>
          </w14:textFill>
        </w:rPr>
        <w:t xml:space="preserve">承包方式：包工包料，</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不得分包与转包</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911"/>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三、投标报价要求：</w:t>
      </w:r>
      <w:r/>
    </w:p>
    <w:p>
      <w:pPr>
        <w:pStyle w:val="911"/>
        <w:pageBreakBefore w:val="0"/>
        <w:spacing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1、响应报价内容</w:t>
      </w:r>
      <w:r/>
    </w:p>
    <w:p>
      <w:pPr>
        <w:pStyle w:val="911"/>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911"/>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911"/>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911"/>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11"/>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11"/>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911"/>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1.7 </w:t>
      </w:r>
      <w:r>
        <w:rPr>
          <w:rFonts w:hint="eastAsia" w:ascii="仿宋" w:hAnsi="仿宋" w:eastAsia="仿宋" w:cs="仿宋"/>
          <w:color w:val="000000" w:themeColor="text1"/>
          <w:sz w:val="24"/>
          <w:highlight w:val="none"/>
          <w14:textFill>
            <w14:solidFill>
              <w14:schemeClr w14:val="tx1"/>
            </w14:solidFill>
          </w14:textFill>
        </w:rPr>
        <w:t xml:space="preserve">投标人如勘察现场，投标人在现场勘察活动中须服从采购人指挥</w:t>
      </w:r>
      <w:r>
        <w:rPr>
          <w:rFonts w:hint="eastAsia" w:ascii="仿宋" w:hAnsi="仿宋" w:eastAsia="仿宋" w:cs="仿宋"/>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11"/>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11"/>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4、低于成本报价</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人工费、材料费、机械费、管理费、验收、税金</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等相关的一切费用。</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  </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（1）符合《建筑工程施工质量验收统一标准》GB50300-2013 和相关专业验收规范的规定;</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28"/>
        <w:jc w:val="left"/>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bookmarkEnd w:id="108"/>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rPr>
          <w:rStyle w:val="905"/>
          <w:rFonts w:hint="eastAsia" w:ascii="仿宋" w:hAnsi="仿宋" w:eastAsia="仿宋" w:cs="仿宋"/>
          <w:color w:val="000000" w:themeColor="text1"/>
          <w:sz w:val="24"/>
          <w:szCs w:val="24"/>
          <w:highlight w:val="none"/>
          <w14:textFill>
            <w14:solidFill>
              <w14:schemeClr w14:val="tx1"/>
            </w14:solidFill>
          </w14:textFill>
        </w:rPr>
      </w:pPr>
      <w:r>
        <w:rPr>
          <w:rStyle w:val="905"/>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Style w:val="905"/>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728"/>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09" w:name="_Toc28445"/>
      <w:r/>
      <w:bookmarkStart w:id="110" w:name="_Toc2522"/>
      <w:r/>
      <w:bookmarkStart w:id="111" w:name="_Toc17357"/>
      <w:r>
        <w:rPr>
          <w:rFonts w:hint="eastAsia" w:ascii="仿宋" w:hAnsi="仿宋" w:eastAsia="仿宋" w:cs="仿宋"/>
          <w:color w:val="000000" w:themeColor="text1"/>
          <w:sz w:val="24"/>
          <w:highlight w:val="none"/>
          <w14:textFill>
            <w14:solidFill>
              <w14:schemeClr w14:val="tx1"/>
            </w14:solidFill>
          </w14:textFill>
        </w:rPr>
        <w:t xml:space="preserve">（首次）</w:t>
      </w:r>
      <w:bookmarkEnd w:id="109"/>
      <w:r/>
      <w:bookmarkEnd w:id="110"/>
      <w:r/>
      <w:bookmarkEnd w:id="111"/>
      <w:r/>
      <w:r/>
    </w:p>
    <w:p>
      <w:pPr>
        <w:pStyle w:val="728"/>
        <w:ind w:firstLine="472"/>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项目名称：</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tbl>
      <w:tblPr>
        <w:tblStyle w:val="687"/>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820"/>
        <w:gridCol w:w="3365"/>
      </w:tblGrid>
      <w:tr>
        <w:trPr>
          <w:jc w:val="center"/>
          <w:trHeight w:val="404"/>
        </w:trPr>
        <w:tc>
          <w:tcPr>
            <w:tcW w:w="3093"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14:textFill>
                  <w14:solidFill>
                    <w14:schemeClr w14:val="tx1"/>
                  </w14:solidFill>
                </w14:textFill>
              </w:rPr>
            </w:pPr>
            <w:r>
              <w:rPr>
                <w:rStyle w:val="1004"/>
                <w:rFonts w:hint="eastAsia" w:ascii="仿宋" w:hAnsi="仿宋" w:eastAsia="仿宋" w:cs="仿宋"/>
                <w:color w:val="000000" w:themeColor="text1"/>
                <w:sz w:val="24"/>
                <w:highlight w:val="none"/>
                <w14:textFill>
                  <w14:solidFill>
                    <w14:schemeClr w14:val="tx1"/>
                  </w14:solidFill>
                </w14:textFill>
              </w:rPr>
              <w:t xml:space="preserve">项目名称</w:t>
            </w:r>
            <w:r/>
          </w:p>
        </w:tc>
        <w:tc>
          <w:tcPr>
            <w:tcW w:w="2820"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14:textFill>
                  <w14:solidFill>
                    <w14:schemeClr w14:val="tx1"/>
                  </w14:solidFill>
                </w14:textFill>
              </w:rPr>
            </w:pPr>
            <w:r>
              <w:rPr>
                <w:rStyle w:val="1004"/>
                <w:rFonts w:hint="eastAsia" w:ascii="仿宋" w:hAnsi="仿宋" w:eastAsia="仿宋" w:cs="仿宋"/>
                <w:color w:val="000000" w:themeColor="text1"/>
                <w:sz w:val="24"/>
                <w:highlight w:val="none"/>
                <w14:textFill>
                  <w14:solidFill>
                    <w14:schemeClr w14:val="tx1"/>
                  </w14:solidFill>
                </w14:textFill>
              </w:rPr>
              <w:t xml:space="preserve">项目内容</w:t>
            </w:r>
            <w:r/>
          </w:p>
        </w:tc>
        <w:tc>
          <w:tcPr>
            <w:tcW w:w="3365"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14:textFill>
                  <w14:solidFill>
                    <w14:schemeClr w14:val="tx1"/>
                  </w14:solidFill>
                </w14:textFill>
              </w:rPr>
            </w:pPr>
            <w:r>
              <w:rPr>
                <w:rStyle w:val="1004"/>
                <w:rFonts w:hint="eastAsia" w:ascii="仿宋" w:hAnsi="仿宋" w:eastAsia="仿宋" w:cs="仿宋"/>
                <w:color w:val="000000" w:themeColor="text1"/>
                <w:sz w:val="24"/>
                <w:highlight w:val="none"/>
                <w14:textFill>
                  <w14:solidFill>
                    <w14:schemeClr w14:val="tx1"/>
                  </w14:solidFill>
                </w14:textFill>
              </w:rPr>
              <w:t xml:space="preserve">总价</w:t>
            </w:r>
            <w:r/>
          </w:p>
          <w:p>
            <w:pPr>
              <w:pStyle w:val="728"/>
              <w:jc w:val="center"/>
              <w:widowControl w:val="off"/>
              <w:rPr>
                <w:rStyle w:val="1004"/>
                <w:rFonts w:hint="eastAsia" w:ascii="仿宋" w:hAnsi="仿宋" w:eastAsia="仿宋" w:cs="仿宋"/>
                <w:color w:val="000000" w:themeColor="text1"/>
                <w:sz w:val="24"/>
                <w:highlight w:val="none"/>
                <w14:textFill>
                  <w14:solidFill>
                    <w14:schemeClr w14:val="tx1"/>
                  </w14:solidFill>
                </w14:textFill>
              </w:rPr>
            </w:pPr>
            <w:r>
              <w:rPr>
                <w:rStyle w:val="1004"/>
                <w:rFonts w:hint="eastAsia" w:ascii="仿宋" w:hAnsi="仿宋" w:eastAsia="仿宋" w:cs="仿宋"/>
                <w:color w:val="000000" w:themeColor="text1"/>
                <w:sz w:val="24"/>
                <w:highlight w:val="none"/>
                <w14:textFill>
                  <w14:solidFill>
                    <w14:schemeClr w14:val="tx1"/>
                  </w14:solidFill>
                </w14:textFill>
              </w:rPr>
              <w:t xml:space="preserve">（小写）</w:t>
            </w:r>
            <w:r/>
          </w:p>
        </w:tc>
      </w:tr>
      <w:tr>
        <w:trPr>
          <w:jc w:val="center"/>
          <w:trHeight w:val="812"/>
        </w:trPr>
        <w:tc>
          <w:tcPr>
            <w:tcW w:w="3093"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lang w:eastAsia="zh-CN"/>
                <w14:textFill>
                  <w14:solidFill>
                    <w14:schemeClr w14:val="tx1"/>
                  </w14:solidFill>
                </w14:textFill>
              </w:rPr>
            </w:pPr>
            <w:r>
              <w:rPr>
                <w:rStyle w:val="1004"/>
                <w:rFonts w:hint="eastAsia" w:ascii="仿宋" w:hAnsi="仿宋" w:eastAsia="仿宋" w:cs="仿宋"/>
                <w:color w:val="000000" w:themeColor="text1"/>
                <w:sz w:val="24"/>
                <w:highlight w:val="none"/>
                <w:lang w:val="en-US" w:eastAsia="zh-CN"/>
                <w14:textFill>
                  <w14:solidFill>
                    <w14:schemeClr w14:val="tx1"/>
                  </w14:solidFill>
                </w14:textFill>
              </w:rPr>
              <w:t xml:space="preserve">临沭路口袋公园工程项目</w:t>
            </w:r>
            <w:r/>
          </w:p>
        </w:tc>
        <w:tc>
          <w:tcPr>
            <w:tcW w:w="2820"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14:textFill>
                  <w14:solidFill>
                    <w14:schemeClr w14:val="tx1"/>
                  </w14:solidFill>
                </w14:textFill>
              </w:rPr>
            </w:pPr>
            <w:r>
              <w:rPr>
                <w:rStyle w:val="1004"/>
                <w:rFonts w:hint="eastAsia" w:ascii="仿宋" w:hAnsi="仿宋" w:eastAsia="仿宋" w:cs="仿宋"/>
                <w:color w:val="000000" w:themeColor="text1"/>
                <w:sz w:val="24"/>
                <w:highlight w:val="none"/>
                <w14:textFill>
                  <w14:solidFill>
                    <w14:schemeClr w14:val="tx1"/>
                  </w14:solidFill>
                </w14:textFill>
              </w:rPr>
              <w:t xml:space="preserve">详见响应文件</w:t>
            </w:r>
            <w:r/>
          </w:p>
        </w:tc>
        <w:tc>
          <w:tcPr>
            <w:tcW w:w="3365"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1"/>
        </w:trPr>
        <w:tc>
          <w:tcPr>
            <w:tcW w:w="3093"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14:textFill>
                  <w14:solidFill>
                    <w14:schemeClr w14:val="tx1"/>
                  </w14:solidFill>
                </w14:textFill>
              </w:rPr>
            </w:pPr>
            <w:r>
              <w:rPr>
                <w:rStyle w:val="1004"/>
                <w:rFonts w:hint="eastAsia" w:ascii="仿宋" w:hAnsi="仿宋" w:eastAsia="仿宋" w:cs="仿宋"/>
                <w:color w:val="000000" w:themeColor="text1"/>
                <w:sz w:val="24"/>
                <w:highlight w:val="none"/>
                <w14:textFill>
                  <w14:solidFill>
                    <w14:schemeClr w14:val="tx1"/>
                  </w14:solidFill>
                </w14:textFill>
              </w:rPr>
              <w:t xml:space="preserve">总价（大写）：</w:t>
            </w:r>
            <w:r/>
          </w:p>
        </w:tc>
        <w:tc>
          <w:tcPr>
            <w:gridSpan w:val="2"/>
            <w:tcW w:w="6185"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4"/>
        </w:trPr>
        <w:tc>
          <w:tcPr>
            <w:tcW w:w="3093"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lang w:val="en-US" w:eastAsia="zh-CN"/>
                <w14:textFill>
                  <w14:solidFill>
                    <w14:schemeClr w14:val="tx1"/>
                  </w14:solidFill>
                </w14:textFill>
              </w:rPr>
            </w:pPr>
            <w:r>
              <w:rPr>
                <w:rStyle w:val="1004"/>
                <w:rFonts w:hint="eastAsia" w:ascii="仿宋" w:hAnsi="仿宋" w:eastAsia="仿宋" w:cs="仿宋"/>
                <w:color w:val="000000" w:themeColor="text1"/>
                <w:sz w:val="24"/>
                <w:highlight w:val="none"/>
                <w:lang w:val="en-US" w:eastAsia="zh-CN"/>
                <w14:textFill>
                  <w14:solidFill>
                    <w14:schemeClr w14:val="tx1"/>
                  </w14:solidFill>
                </w14:textFill>
              </w:rPr>
              <w:t xml:space="preserve">工程质量</w:t>
            </w:r>
            <w:r/>
          </w:p>
        </w:tc>
        <w:tc>
          <w:tcPr>
            <w:gridSpan w:val="2"/>
            <w:tcW w:w="6185" w:type="dxa"/>
            <w:vAlign w:val="center"/>
            <w:textDirection w:val="lrTb"/>
            <w:noWrap w:val="false"/>
          </w:tcPr>
          <w:p>
            <w:pPr>
              <w:jc w:val="center"/>
              <w:widowControl/>
              <w:rPr>
                <w:rStyle w:val="1004"/>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587"/>
        </w:trPr>
        <w:tc>
          <w:tcPr>
            <w:tcW w:w="3093" w:type="dxa"/>
            <w:vAlign w:val="center"/>
            <w:textDirection w:val="lrTb"/>
            <w:noWrap w:val="false"/>
          </w:tcPr>
          <w:p>
            <w:pPr>
              <w:pStyle w:val="728"/>
              <w:jc w:val="center"/>
              <w:widowControl w:val="off"/>
              <w:rPr>
                <w:rStyle w:val="1004"/>
                <w:rFonts w:hint="eastAsia" w:ascii="仿宋" w:hAnsi="仿宋" w:eastAsia="仿宋" w:cs="仿宋"/>
                <w:color w:val="000000" w:themeColor="text1"/>
                <w:sz w:val="24"/>
                <w:highlight w:val="none"/>
                <w:lang w:val="en-US" w:eastAsia="zh-CN"/>
                <w14:textFill>
                  <w14:solidFill>
                    <w14:schemeClr w14:val="tx1"/>
                  </w14:solidFill>
                </w14:textFill>
              </w:rPr>
            </w:pPr>
            <w:r>
              <w:rPr>
                <w:rStyle w:val="1004"/>
                <w:rFonts w:hint="eastAsia" w:ascii="仿宋" w:hAnsi="仿宋" w:eastAsia="仿宋" w:cs="仿宋"/>
                <w:color w:val="000000" w:themeColor="text1"/>
                <w:sz w:val="24"/>
                <w:highlight w:val="none"/>
                <w:lang w:val="en-US" w:eastAsia="zh-CN"/>
                <w14:textFill>
                  <w14:solidFill>
                    <w14:schemeClr w14:val="tx1"/>
                  </w14:solidFill>
                </w14:textFill>
              </w:rPr>
              <w:t xml:space="preserve">工期</w:t>
            </w:r>
            <w:r/>
          </w:p>
        </w:tc>
        <w:tc>
          <w:tcPr>
            <w:gridSpan w:val="2"/>
            <w:tcW w:w="6185" w:type="dxa"/>
            <w:vAlign w:val="center"/>
            <w:textDirection w:val="lrTb"/>
            <w:noWrap w:val="false"/>
          </w:tcPr>
          <w:p>
            <w:pPr>
              <w:jc w:val="center"/>
              <w:widowControl/>
              <w:rPr>
                <w:rStyle w:val="1004"/>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bl>
    <w:p>
      <w:pPr>
        <w:pStyle w:val="728"/>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供应商承诺：本报价（总价）为供应商本企业提供的服务。</w:t>
      </w:r>
      <w:r/>
    </w:p>
    <w:p>
      <w:pPr>
        <w:pStyle w:val="728"/>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报价说明：</w:t>
      </w:r>
      <w:r/>
    </w:p>
    <w:p>
      <w:pPr>
        <w:pStyle w:val="728"/>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pStyle w:val="728"/>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2、报价以总价为准，大小写不一致以大写为准；</w:t>
      </w:r>
      <w:r/>
    </w:p>
    <w:p>
      <w:pPr>
        <w:pStyle w:val="728"/>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3、偏离说明：详见《偏离表》；</w:t>
      </w:r>
      <w:r/>
    </w:p>
    <w:p>
      <w:pPr>
        <w:pStyle w:val="728"/>
        <w:keepLines w:val="0"/>
        <w:keepNext w:val="0"/>
        <w:pageBreakBefore w:val="0"/>
        <w:spacing w:line="360" w:lineRule="auto"/>
        <w:widowControl w:val="off"/>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4、如最后报价未列明单价，则最后所报各项单价计算方法为：（最后总价/最初总价）*各项最初报价的单价。</w:t>
      </w:r>
      <w:r/>
    </w:p>
    <w:p>
      <w:pPr>
        <w:pStyle w:val="72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730"/>
        <w:rPr>
          <w:rFonts w:hint="eastAsia"/>
        </w:rPr>
      </w:pPr>
      <w:r>
        <w:rPr>
          <w:rFonts w:hint="eastAsia"/>
        </w:rPr>
      </w:r>
      <w:r/>
    </w:p>
    <w:p>
      <w:pPr>
        <w:pStyle w:val="728"/>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28"/>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28"/>
        <w:ind w:firstLine="472"/>
        <w:jc w:val="left"/>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1"/>
      </w:pPr>
      <w:r>
        <w:rPr>
          <w:rStyle w:val="905"/>
          <w:rFonts w:hint="eastAsia" w:ascii="仿宋" w:hAnsi="仿宋" w:eastAsia="仿宋" w:cs="仿宋"/>
          <w:color w:val="000000" w:themeColor="text1"/>
          <w:sz w:val="24"/>
          <w:szCs w:val="24"/>
          <w:highlight w:val="none"/>
          <w14:textFill>
            <w14:solidFill>
              <w14:schemeClr w14:val="tx1"/>
            </w14:solidFill>
          </w14:textFill>
        </w:rPr>
        <w:t xml:space="preserve">4、报价明细表</w:t>
      </w:r>
      <w:r/>
    </w:p>
    <w:p>
      <w:pPr>
        <w:ind w:right="31"/>
        <w:pageBreakBefore w:val="0"/>
        <w:spacing w:before="240" w:after="240"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本次为首次报价</w:t>
      </w:r>
      <w:r/>
    </w:p>
    <w:p>
      <w:pPr>
        <w:ind w:right="31"/>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ind w:right="242"/>
        <w:pageBreakBefore w:val="0"/>
        <w:spacing w:before="240" w:after="24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p>
      <w:pPr>
        <w:pStyle w:val="723"/>
        <w:ind w:left="0"/>
        <w:jc w:val="center"/>
        <w:widowControl w:val="off"/>
        <w:rPr>
          <w:rFonts w:hint="eastAsia" w:ascii="仿宋" w:hAnsi="仿宋" w:eastAsia="仿宋" w:cs="仿宋"/>
          <w:color w:val="000000" w:themeColor="text1"/>
          <w:sz w:val="24"/>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4"/>
          <w:highlight w:val="none"/>
          <w:lang w:val="en-US" w:eastAsia="zh-CN" w:bidi="ar-SA"/>
          <w14:textFill>
            <w14:solidFill>
              <w14:schemeClr w14:val="tx1"/>
            </w14:solidFill>
          </w14:textFill>
        </w:rPr>
      </w:r>
      <w:r/>
    </w:p>
    <w:p>
      <w:pPr>
        <w:pStyle w:val="723"/>
        <w:ind w:left="0"/>
        <w:jc w:val="center"/>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bidi="ar-SA"/>
          <w14:textFill>
            <w14:solidFill>
              <w14:schemeClr w14:val="tx1"/>
            </w14:solidFill>
          </w14:textFill>
        </w:rPr>
        <w:t xml:space="preserve">根据发布的《招标工程量清单》进行编制</w:t>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sz w:val="26"/>
          <w:szCs w:val="26"/>
          <w:highlight w:val="none"/>
          <w:lang w:val="en-US" w:eastAsia="zh-CN" w:bidi="ar-SA"/>
        </w:rPr>
        <w:outlineLvl w:val="9"/>
      </w:pPr>
      <w:r>
        <w:rPr>
          <w:rFonts w:hint="eastAsia" w:ascii="仿宋" w:hAnsi="仿宋" w:eastAsia="仿宋" w:cs="仿宋"/>
          <w:b/>
          <w:bCs/>
          <w:sz w:val="26"/>
          <w:szCs w:val="26"/>
          <w:highlight w:val="none"/>
          <w:lang w:val="en-US" w:eastAsia="zh-CN" w:bidi="ar-SA"/>
        </w:rPr>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供应商（电子签章）：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p>
      <w:pPr>
        <w:ind w:right="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注：1</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如果按单价计算的结果与总价不一致，以总价为准。</w:t>
      </w:r>
      <w:r/>
    </w:p>
    <w:p>
      <w:pPr>
        <w:ind w:right="0" w:firstLine="480"/>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、如果不提供详细分项报价将视为没有实质性响应。</w:t>
      </w:r>
      <w:r/>
    </w:p>
    <w:p>
      <w:pPr>
        <w:pStyle w:val="728"/>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、供应商对以上数据的真实性负责。</w:t>
      </w:r>
      <w:r/>
    </w:p>
    <w:p>
      <w:pPr>
        <w:pStyle w:val="728"/>
        <w:ind w:firstLine="480"/>
        <w:keepLines w:val="0"/>
        <w:keepNext w:val="0"/>
        <w:pageBreakBefore w:val="0"/>
        <w:spacing w:line="360" w:lineRule="auto"/>
        <w:widowControl w:val="off"/>
        <w:rPr>
          <w:rFonts w:hint="eastAsia" w:ascii="仿宋" w:hAnsi="仿宋" w:eastAsia="仿宋" w:cs="仿宋"/>
          <w:b/>
          <w:bCs/>
          <w:i/>
          <w:iCs/>
          <w:highlight w:val="none"/>
          <w:u w:val="single"/>
        </w:rPr>
      </w:pPr>
      <w:r>
        <w:rPr>
          <w:rFonts w:hint="eastAsia" w:ascii="仿宋" w:hAnsi="仿宋" w:eastAsia="仿宋" w:cs="仿宋"/>
          <w:b/>
          <w:bCs/>
          <w:i/>
          <w:iCs/>
          <w:color w:val="000000" w:themeColor="text1"/>
          <w:sz w:val="24"/>
          <w:highlight w:val="none"/>
          <w:u w:val="single"/>
          <w14:textFill>
            <w14:solidFill>
              <w14:schemeClr w14:val="tx1"/>
            </w14:solidFill>
          </w14:textFill>
        </w:rPr>
        <w:t xml:space="preserve">采购人或采购代理机构有权将以上内容进行公示。</w:t>
      </w:r>
      <w:r/>
    </w:p>
    <w:p>
      <w:pPr>
        <w:pStyle w:val="728"/>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728"/>
        <w:numPr>
          <w:ilvl w:val="0"/>
          <w:numId w:val="0"/>
        </w:numPr>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28"/>
        <w:numPr>
          <w:ilvl w:val="0"/>
          <w:numId w:val="0"/>
        </w:numPr>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5、</w:t>
      </w:r>
      <w:r>
        <w:rPr>
          <w:rStyle w:val="905"/>
          <w:rFonts w:hint="eastAsia" w:ascii="仿宋" w:hAnsi="仿宋" w:eastAsia="仿宋" w:cs="仿宋"/>
          <w:color w:val="000000" w:themeColor="text1"/>
          <w:sz w:val="24"/>
          <w:szCs w:val="24"/>
          <w:highlight w:val="none"/>
          <w14:textFill>
            <w14:solidFill>
              <w14:schemeClr w14:val="tx1"/>
            </w14:solidFill>
          </w14:textFill>
        </w:rPr>
        <w:t xml:space="preserve">偏离表</w:t>
      </w:r>
      <w:r/>
    </w:p>
    <w:p>
      <w:pPr>
        <w:pStyle w:val="734"/>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r/>
    </w:p>
    <w:p>
      <w:pPr>
        <w:pStyle w:val="734"/>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项目编号：</w:t>
      </w:r>
      <w:r/>
    </w:p>
    <w:tbl>
      <w:tblPr>
        <w:tblStyle w:val="68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序号</w:t>
            </w:r>
            <w:r/>
          </w:p>
        </w:tc>
        <w:tc>
          <w:tcPr>
            <w:tcW w:w="1220"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偏离内容</w:t>
            </w:r>
            <w:r/>
          </w:p>
        </w:tc>
        <w:tc>
          <w:tcPr>
            <w:tcW w:w="241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首次响应文件中的内容</w:t>
            </w:r>
            <w:r/>
          </w:p>
        </w:tc>
        <w:tc>
          <w:tcPr>
            <w:tcW w:w="1351"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（正/负/无）偏离</w:t>
            </w:r>
            <w:r/>
          </w:p>
        </w:tc>
        <w:tc>
          <w:tcPr>
            <w:tcW w:w="2123"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4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7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351"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12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pStyle w:val="72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pageBreakBefore w:val="0"/>
        <w:spacing w:before="240" w:after="240" w:line="360" w:lineRule="auto"/>
        <w:rPr>
          <w:rFonts w:hint="eastAsia"/>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28"/>
        <w:ind w:firstLine="472"/>
        <w:pageBreakBefore w:val="0"/>
        <w:spacing w:line="360" w:lineRule="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日期：</w:t>
      </w:r>
      <w:r/>
    </w:p>
    <w:p>
      <w:pPr>
        <w:pStyle w:val="728"/>
        <w:jc w:val="left"/>
        <w:pageBreakBefore w:val="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736"/>
        <w:rPr>
          <w:rFonts w:hint="eastAsia" w:ascii="仿宋" w:hAnsi="仿宋" w:eastAsia="仿宋" w:cs="仿宋"/>
          <w:highlight w:val="none"/>
        </w:rPr>
      </w:pPr>
      <w:r>
        <w:rPr>
          <w:rFonts w:hint="eastAsia" w:ascii="仿宋" w:hAnsi="仿宋" w:eastAsia="仿宋" w:cs="仿宋"/>
          <w:highlight w:val="none"/>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Style w:val="905"/>
          <w:rFonts w:hint="eastAsia" w:ascii="仿宋" w:hAnsi="仿宋" w:eastAsia="仿宋" w:cs="仿宋"/>
          <w:color w:val="000000" w:themeColor="text1"/>
          <w:sz w:val="24"/>
          <w:szCs w:val="24"/>
          <w:highlight w:val="none"/>
          <w14:textFill>
            <w14:solidFill>
              <w14:schemeClr w14:val="tx1"/>
            </w14:solidFill>
          </w14:textFill>
        </w:rPr>
        <w:t xml:space="preserve">6、承诺书</w:t>
      </w:r>
      <w:r/>
    </w:p>
    <w:p>
      <w:pPr>
        <w:pStyle w:val="728"/>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致：</w:t>
      </w:r>
      <w:r>
        <w:rPr>
          <w:rFonts w:hint="eastAsia" w:ascii="仿宋" w:hAnsi="仿宋" w:eastAsia="仿宋" w:cs="仿宋"/>
          <w:color w:val="000000" w:themeColor="text1"/>
          <w:sz w:val="24"/>
          <w:highlight w:val="none"/>
          <w:lang w:eastAsia="zh-CN"/>
          <w14:textFill>
            <w14:solidFill>
              <w14:schemeClr w14:val="tx1"/>
            </w14:solidFill>
          </w14:textFill>
        </w:rPr>
        <w:t xml:space="preserve">中鸿亿博集团有限公司、新沂市住房和城乡建设局</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根据贵方</w:t>
      </w:r>
      <w:r>
        <w:rPr>
          <w:rFonts w:hint="eastAsia" w:ascii="仿宋" w:hAnsi="仿宋" w:eastAsia="仿宋" w:cs="仿宋"/>
          <w:color w:val="000000" w:themeColor="text1"/>
          <w:sz w:val="24"/>
          <w:highlight w:val="non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highlight w:val="none"/>
          <w14:textFill>
            <w14:solidFill>
              <w14:schemeClr w14:val="tx1"/>
            </w14:solidFill>
          </w14:textFill>
        </w:rPr>
        <w:t xml:space="preserve">《竞争性磋商文件》（项目编号：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JSZC-320381-ZHYB-C2026-0003</w:t>
      </w:r>
      <w:r>
        <w:rPr>
          <w:rFonts w:hint="eastAsia" w:ascii="仿宋" w:hAnsi="仿宋" w:eastAsia="仿宋" w:cs="仿宋"/>
          <w:color w:val="000000" w:themeColor="text1"/>
          <w:sz w:val="24"/>
          <w:highlight w:val="none"/>
          <w14:textFill>
            <w14:solidFill>
              <w14:schemeClr w14:val="tx1"/>
            </w14:solidFill>
          </w14:textFill>
        </w:rPr>
        <w:t xml:space="preserve">）要求，本供应商正式提交以下首次响应文件。</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 o:spid="_x0000_s2"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2" w:name="_Toc18142"/>
      <w:r/>
      <w:bookmarkStart w:id="113" w:name="_Toc20543"/>
      <w:r/>
      <w:bookmarkStart w:id="114" w:name="_Toc24561"/>
      <w:r/>
      <w:bookmarkStart w:id="115" w:name="_Toc16644"/>
      <w:r/>
      <w:bookmarkStart w:id="116" w:name="_Toc30031"/>
      <w:r>
        <w:rPr>
          <w:rFonts w:hint="eastAsia" w:ascii="仿宋" w:hAnsi="仿宋" w:eastAsia="仿宋" w:cs="仿宋"/>
          <w:color w:val="000000" w:themeColor="text1"/>
          <w:sz w:val="24"/>
          <w:highlight w:val="none"/>
          <w14:textFill>
            <w14:solidFill>
              <w14:schemeClr w14:val="tx1"/>
            </w14:solidFill>
          </w14:textFill>
        </w:rPr>
        <w:t xml:space="preserve">（2）磋商报价表；</w:t>
      </w:r>
      <w:bookmarkEnd w:id="112"/>
      <w:r/>
      <w:bookmarkEnd w:id="113"/>
      <w:r/>
      <w:bookmarkEnd w:id="114"/>
      <w:r/>
      <w:bookmarkEnd w:id="115"/>
      <w:r/>
      <w:bookmarkEnd w:id="116"/>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7" w:name="_Toc15322"/>
      <w:r/>
      <w:bookmarkStart w:id="118" w:name="_Toc26005"/>
      <w:r/>
      <w:bookmarkStart w:id="119" w:name="_Toc8339"/>
      <w:r/>
      <w:bookmarkStart w:id="120" w:name="_Toc27728"/>
      <w:r/>
      <w:bookmarkStart w:id="121" w:name="_Toc27515"/>
      <w:r>
        <w:rPr>
          <w:rFonts w:hint="eastAsia" w:ascii="仿宋" w:hAnsi="仿宋" w:eastAsia="仿宋" w:cs="仿宋"/>
          <w:color w:val="000000" w:themeColor="text1"/>
          <w:sz w:val="24"/>
          <w:highlight w:val="none"/>
          <w14:textFill>
            <w14:solidFill>
              <w14:schemeClr w14:val="tx1"/>
            </w14:solidFill>
          </w14:textFill>
        </w:rPr>
        <w:t xml:space="preserve">（3）偏离表；</w:t>
      </w:r>
      <w:bookmarkEnd w:id="117"/>
      <w:r/>
      <w:bookmarkEnd w:id="118"/>
      <w:r/>
      <w:bookmarkEnd w:id="119"/>
      <w:r/>
      <w:bookmarkEnd w:id="120"/>
      <w:r/>
      <w:bookmarkEnd w:id="121"/>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22" w:name="_Toc10380"/>
      <w:r/>
      <w:bookmarkStart w:id="123" w:name="_Toc22961"/>
      <w:r/>
      <w:bookmarkStart w:id="124" w:name="_Toc2652"/>
      <w:r/>
      <w:bookmarkStart w:id="125" w:name="_Toc30830"/>
      <w:r/>
      <w:bookmarkStart w:id="126" w:name="_Toc1135"/>
      <w:r>
        <w:rPr>
          <w:rFonts w:hint="eastAsia" w:ascii="仿宋" w:hAnsi="仿宋" w:eastAsia="仿宋" w:cs="仿宋"/>
          <w:color w:val="000000" w:themeColor="text1"/>
          <w:sz w:val="24"/>
          <w:highlight w:val="none"/>
          <w14:textFill>
            <w14:solidFill>
              <w14:schemeClr w14:val="tx1"/>
            </w14:solidFill>
          </w14:textFill>
        </w:rPr>
        <w:t xml:space="preserve">（4）磋商文件要求提供的其他响应文件。</w:t>
      </w:r>
      <w:bookmarkEnd w:id="122"/>
      <w:r/>
      <w:bookmarkEnd w:id="123"/>
      <w:r/>
      <w:bookmarkEnd w:id="124"/>
      <w:r/>
      <w:bookmarkEnd w:id="125"/>
      <w:r/>
      <w:bookmarkEnd w:id="126"/>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 o:spid="_x0000_s3"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五、投标有效期为</w:t>
      </w:r>
      <w:r>
        <w:rPr>
          <w:rFonts w:hint="eastAsia" w:ascii="仿宋" w:hAnsi="仿宋" w:eastAsia="仿宋" w:cs="仿宋"/>
          <w:color w:val="000000" w:themeColor="text1"/>
          <w:sz w:val="24"/>
          <w:highlight w:val="none"/>
          <w:u w:val="single"/>
          <w14:textFill>
            <w14:solidFill>
              <w14:schemeClr w14:val="tx1"/>
            </w14:solidFill>
          </w14:textFill>
        </w:rPr>
        <w:t xml:space="preserve">45</w:t>
      </w:r>
      <w:r>
        <w:rPr>
          <w:rFonts w:hint="eastAsia" w:ascii="仿宋" w:hAnsi="仿宋" w:eastAsia="仿宋" w:cs="仿宋"/>
          <w:color w:val="000000" w:themeColor="text1"/>
          <w:sz w:val="24"/>
          <w:highlight w:val="none"/>
          <w14:textFill>
            <w14:solidFill>
              <w14:schemeClr w14:val="tx1"/>
            </w14:solidFill>
          </w14:textFill>
        </w:rPr>
        <w:t xml:space="preserve">日。</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七、完全理解贵方不一定要接受最低的报价或收到的任何报价。</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w:t>
      </w:r>
      <w:r>
        <w:rPr>
          <w:rFonts w:hint="eastAsia" w:ascii="仿宋" w:hAnsi="仿宋" w:eastAsia="仿宋" w:cs="仿宋"/>
          <w:color w:val="000000" w:themeColor="text1"/>
          <w:sz w:val="24"/>
          <w:highlight w:val="none"/>
          <w:lang w:eastAsia="zh-CN"/>
          <w14:textFill>
            <w14:solidFill>
              <w14:schemeClr w14:val="tx1"/>
            </w14:solidFill>
          </w14:textFill>
        </w:rPr>
        <w:t xml:space="preserve">中鸿亿博集团有限公司</w:t>
      </w:r>
      <w:r>
        <w:rPr>
          <w:rFonts w:hint="eastAsia" w:ascii="仿宋" w:hAnsi="仿宋" w:eastAsia="仿宋" w:cs="仿宋"/>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仿宋" w:hAnsi="仿宋" w:eastAsia="仿宋" w:cs="仿宋"/>
          <w:color w:val="000000" w:themeColor="text1"/>
          <w:sz w:val="24"/>
          <w:highlight w:val="none"/>
          <w:lang w:eastAsia="zh-CN"/>
          <w14:textFill>
            <w14:solidFill>
              <w14:schemeClr w14:val="tx1"/>
            </w14:solidFill>
          </w14:textFill>
        </w:rPr>
        <w:t xml:space="preserve">中鸿亿博集团有限公司</w:t>
      </w:r>
      <w:r>
        <w:rPr>
          <w:rFonts w:hint="eastAsia" w:ascii="仿宋" w:hAnsi="仿宋" w:eastAsia="仿宋" w:cs="仿宋"/>
          <w:color w:val="000000" w:themeColor="text1"/>
          <w:sz w:val="24"/>
          <w:highlight w:val="none"/>
          <w14:textFill>
            <w14:solidFill>
              <w14:schemeClr w14:val="tx1"/>
            </w14:solidFill>
          </w14:textFill>
        </w:rPr>
        <w:t xml:space="preserve">确定。</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十、同意按照有关规定</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在领取</w:t>
      </w:r>
      <w:r>
        <w:rPr>
          <w:rFonts w:hint="eastAsia" w:ascii="仿宋" w:hAnsi="仿宋" w:eastAsia="仿宋" w:cs="仿宋"/>
          <w:color w:val="000000" w:themeColor="text1"/>
          <w:sz w:val="24"/>
          <w:highlight w:val="none"/>
          <w:lang w:eastAsia="zh-CN"/>
          <w14:textFill>
            <w14:solidFill>
              <w14:schemeClr w14:val="tx1"/>
            </w14:solidFill>
          </w14:textFill>
        </w:rPr>
        <w:t xml:space="preserve">成交（中标）通知书</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前一次性向中鸿亿博集团有限公司</w:t>
      </w:r>
      <w:r>
        <w:rPr>
          <w:rFonts w:hint="eastAsia" w:ascii="仿宋" w:hAnsi="仿宋" w:eastAsia="仿宋" w:cs="仿宋"/>
          <w:color w:val="000000" w:themeColor="text1"/>
          <w:sz w:val="24"/>
          <w:highlight w:val="none"/>
          <w14:textFill>
            <w14:solidFill>
              <w14:schemeClr w14:val="tx1"/>
            </w14:solidFill>
          </w14:textFill>
        </w:rPr>
        <w:t xml:space="preserve">支付代理服务费。</w:t>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8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28"/>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28"/>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28"/>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28"/>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联系电话：</w:t>
      </w:r>
      <w:r/>
    </w:p>
    <w:p>
      <w:pPr>
        <w:pStyle w:val="728"/>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28"/>
        <w:ind w:firstLine="472"/>
        <w:keepLines w:val="0"/>
        <w:keepNext w:val="0"/>
        <w:pageBreakBefore w:val="0"/>
        <w:spacing w:line="240" w:lineRule="auto"/>
        <w:widowControl/>
        <w:rPr>
          <w:rFonts w:hint="eastAsia" w:ascii="仿宋" w:hAnsi="仿宋" w:eastAsia="仿宋" w:cs="仿宋"/>
          <w:color w:val="000000" w:themeColor="text1"/>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日期：</w:t>
      </w:r>
      <w:r/>
    </w:p>
    <w:p>
      <w:pPr>
        <w:pStyle w:val="728"/>
        <w:jc w:val="center"/>
        <w:pageBreakBefore w:val="0"/>
        <w:spacing w:line="360" w:lineRule="auto"/>
        <w:widowControl/>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Style w:val="905"/>
          <w:rFonts w:hint="eastAsia" w:ascii="仿宋" w:hAnsi="仿宋" w:eastAsia="仿宋" w:cs="仿宋"/>
          <w:color w:val="000000" w:themeColor="text1"/>
          <w:sz w:val="24"/>
          <w:szCs w:val="24"/>
          <w:highlight w:val="none"/>
          <w14:textFill>
            <w14:solidFill>
              <w14:schemeClr w14:val="tx1"/>
            </w14:solidFill>
          </w14:textFill>
        </w:rPr>
        <w:t xml:space="preserve">7、法人授权委托书</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委托人（全称）：</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法人营业执照注册号（统一社会信用代码）：</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JSZC-320381-ZHYB-C2026-0003</w:t>
      </w:r>
      <w:r>
        <w:rPr>
          <w:rFonts w:hint="eastAsia" w:ascii="仿宋" w:hAnsi="仿宋" w:eastAsia="仿宋" w:cs="仿宋"/>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委托期限自     年   月  日起至    年   月   日止。</w:t>
      </w:r>
      <w:r/>
    </w:p>
    <w:p>
      <w:pPr>
        <w:pStyle w:val="72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2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2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受托人（签字）：</w:t>
      </w:r>
      <w:r/>
    </w:p>
    <w:p>
      <w:pPr>
        <w:pStyle w:val="72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法定代表人、</w:t>
      </w:r>
      <w:r>
        <w:rPr>
          <w:rFonts w:hint="eastAsia" w:ascii="仿宋" w:hAnsi="仿宋" w:eastAsia="仿宋" w:cs="仿宋"/>
          <w:color w:val="000000" w:themeColor="text1"/>
          <w:sz w:val="24"/>
          <w:highlight w:val="none"/>
          <w14:textFill>
            <w14:solidFill>
              <w14:schemeClr w14:val="tx1"/>
            </w14:solidFill>
          </w14:textFill>
        </w:rPr>
        <w:t xml:space="preserve">受托人身份证正反面附后（加盖电子章）)</w:t>
      </w:r>
      <w:r/>
    </w:p>
    <w:p>
      <w:pPr>
        <w:pStyle w:val="734"/>
        <w:rPr>
          <w:rFonts w:hint="eastAsia" w:ascii="仿宋" w:hAnsi="仿宋" w:eastAsia="仿宋" w:cs="仿宋"/>
          <w:highlight w:val="none"/>
        </w:rPr>
      </w:pPr>
      <w:r>
        <w:rPr>
          <w:rFonts w:hint="eastAsia" w:ascii="仿宋" w:hAnsi="仿宋" w:eastAsia="仿宋" w:cs="仿宋"/>
          <w:highlight w:val="none"/>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Style w:val="905"/>
          <w:rFonts w:hint="eastAsia" w:ascii="仿宋" w:hAnsi="仿宋" w:eastAsia="仿宋" w:cs="仿宋"/>
          <w:color w:val="000000" w:themeColor="text1"/>
          <w:sz w:val="24"/>
          <w:szCs w:val="24"/>
          <w:highlight w:val="none"/>
          <w14:textFill>
            <w14:solidFill>
              <w14:schemeClr w14:val="tx1"/>
            </w14:solidFill>
          </w14:textFill>
        </w:rPr>
        <w:t xml:space="preserve">8、供应商参加政府采购活动前3年内在经营活动中没有重大违法记录的书面声明</w:t>
      </w:r>
      <w:r/>
    </w:p>
    <w:p>
      <w:pPr>
        <w:pStyle w:val="728"/>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我单位在参加</w:t>
      </w:r>
      <w:r>
        <w:rPr>
          <w:rFonts w:hint="eastAsia" w:ascii="仿宋" w:hAnsi="仿宋" w:eastAsia="仿宋" w:cs="仿宋"/>
          <w:color w:val="000000" w:themeColor="text1"/>
          <w:sz w:val="24"/>
          <w:highlight w:val="non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JSZC-320381-ZHYB-C2026-0003</w:t>
      </w:r>
      <w:r>
        <w:rPr>
          <w:rFonts w:hint="eastAsia" w:ascii="仿宋" w:hAnsi="仿宋" w:eastAsia="仿宋" w:cs="仿宋"/>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28"/>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w:t>
      </w:r>
      <w:r/>
    </w:p>
    <w:p>
      <w:pPr>
        <w:pStyle w:val="73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3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28"/>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3"/>
        <w:rPr>
          <w:rFonts w:hint="eastAsia" w:ascii="仿宋" w:hAnsi="仿宋" w:eastAsia="仿宋" w:cs="仿宋"/>
          <w:highlight w:val="none"/>
        </w:rPr>
        <w:outlineLvl w:val="9"/>
      </w:pPr>
      <w:r>
        <w:rPr>
          <w:rFonts w:hint="eastAsia" w:ascii="仿宋" w:hAnsi="仿宋" w:eastAsia="仿宋" w:cs="仿宋"/>
          <w:highlight w:val="none"/>
        </w:rPr>
      </w:r>
      <w:r/>
    </w:p>
    <w:p>
      <w:pPr>
        <w:pStyle w:val="726"/>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26"/>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Style w:val="905"/>
          <w:rFonts w:hint="eastAsia" w:ascii="仿宋" w:hAnsi="仿宋" w:eastAsia="仿宋" w:cs="仿宋"/>
          <w:color w:val="000000" w:themeColor="text1"/>
          <w:sz w:val="24"/>
          <w:szCs w:val="24"/>
          <w:highlight w:val="none"/>
          <w14:textFill>
            <w14:solidFill>
              <w14:schemeClr w14:val="tx1"/>
            </w14:solidFill>
          </w14:textFill>
        </w:rPr>
        <w:t xml:space="preserve">9. 具备履行合同所必需的设备和专业技术能力的书面声明</w:t>
      </w:r>
      <w:r/>
    </w:p>
    <w:p>
      <w:pPr>
        <w:pStyle w:val="72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6"/>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临沭路口袋公园工程项目</w:t>
      </w:r>
      <w:r/>
    </w:p>
    <w:p>
      <w:pPr>
        <w:pStyle w:val="726"/>
        <w:pageBreakBefore w:val="0"/>
        <w:spacing w:line="360" w:lineRule="auto"/>
        <w:rPr>
          <w:rFonts w:hint="eastAsia" w:ascii="仿宋" w:hAnsi="仿宋" w:eastAsia="仿宋" w:cs="仿宋"/>
          <w:color w:val="000000" w:themeColor="text1"/>
          <w:sz w:val="24"/>
          <w:highlight w:val="none"/>
          <w:u w:val="singl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JSZC-320381-ZHYB-C2026-0003</w:t>
      </w:r>
      <w:r/>
    </w:p>
    <w:p>
      <w:pPr>
        <w:pStyle w:val="726"/>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6"/>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我单位郑重声明：我单位具备履行合同（项目名称：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临沭路口袋公园工程项目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JSZC-320381-ZHYB-C2026-0003</w:t>
      </w:r>
      <w:r>
        <w:rPr>
          <w:rFonts w:hint="eastAsia" w:ascii="仿宋" w:hAnsi="仿宋" w:eastAsia="仿宋" w:cs="仿宋"/>
          <w:color w:val="000000" w:themeColor="text1"/>
          <w:sz w:val="24"/>
          <w:highlight w:val="none"/>
          <w14:textFill>
            <w14:solidFill>
              <w14:schemeClr w14:val="tx1"/>
            </w14:solidFill>
          </w14:textFill>
        </w:rPr>
        <w:t xml:space="preserve">）所必需的设备和专业技术能力。</w:t>
      </w:r>
      <w:r/>
    </w:p>
    <w:p>
      <w:pPr>
        <w:pStyle w:val="726"/>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6"/>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特此声明。</w:t>
      </w:r>
      <w:r/>
    </w:p>
    <w:p>
      <w:pPr>
        <w:pStyle w:val="726"/>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2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6"/>
        <w:ind w:firstLine="300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28"/>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28"/>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28"/>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905"/>
          <w:rFonts w:hint="eastAsia" w:ascii="仿宋" w:hAnsi="仿宋" w:eastAsia="仿宋" w:cs="仿宋"/>
          <w:color w:val="000000" w:themeColor="text1"/>
          <w:sz w:val="24"/>
          <w:szCs w:val="24"/>
          <w:highlight w:val="none"/>
          <w14:textFill>
            <w14:solidFill>
              <w14:schemeClr w14:val="tx1"/>
            </w14:solidFill>
          </w14:textFill>
        </w:rPr>
        <w:t xml:space="preserve">10、中小企业声明函</w:t>
      </w:r>
      <w:r/>
    </w:p>
    <w:p>
      <w:pPr>
        <w:pStyle w:val="728"/>
        <w:ind w:firstLine="480"/>
        <w:pageBreakBefore w:val="0"/>
        <w:spacing w:before="292"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2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新沂市住房和城乡建设局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临沭路口袋公园工程项目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采购活动，工程的施工单位全部为符合政策要求的中小企业。相关企业的具体情况如下：</w:t>
      </w:r>
      <w:r/>
    </w:p>
    <w:p>
      <w:pPr>
        <w:pStyle w:val="728"/>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临沭路口袋公园工程项目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万元，属于（□中型企业、□小型企业、□微型企业，请勾选）；</w:t>
      </w:r>
      <w:r/>
    </w:p>
    <w:p>
      <w:pPr>
        <w:pStyle w:val="728"/>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728"/>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728"/>
        <w:ind w:firstLine="60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2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 xml:space="preserve">电子签章</w:t>
      </w:r>
      <w:r>
        <w:rPr>
          <w:rFonts w:hint="eastAsia" w:ascii="仿宋" w:hAnsi="仿宋" w:eastAsia="仿宋" w:cs="仿宋"/>
          <w:color w:val="auto"/>
          <w:sz w:val="24"/>
          <w:szCs w:val="24"/>
          <w:highlight w:val="none"/>
        </w:rPr>
        <w:t xml:space="preserve">）：</w:t>
      </w:r>
      <w:r/>
    </w:p>
    <w:p>
      <w:pPr>
        <w:pStyle w:val="72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pStyle w:val="7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28"/>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28"/>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28"/>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eastAsia" w:ascii="仿宋" w:hAnsi="仿宋" w:eastAsia="仿宋" w:cs="仿宋"/>
          <w:sz w:val="21"/>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        2、采购人确定的采购项目属性：工程。</w:t>
      </w:r>
      <w:r/>
    </w:p>
    <w:p>
      <w:pPr>
        <w:pStyle w:val="734"/>
        <w:rPr>
          <w:rFonts w:hint="eastAsia" w:ascii="仿宋" w:hAnsi="仿宋" w:eastAsia="仿宋" w:cs="仿宋"/>
          <w:highlight w:val="none"/>
        </w:rPr>
      </w:pPr>
      <w:r>
        <w:rPr>
          <w:rFonts w:hint="eastAsia" w:ascii="仿宋" w:hAnsi="仿宋" w:eastAsia="仿宋" w:cs="仿宋"/>
          <w:highlight w:val="none"/>
        </w:rPr>
      </w:r>
      <w:r/>
    </w:p>
    <w:p>
      <w:pPr>
        <w:pStyle w:val="736"/>
        <w:ind w:left="0"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6"/>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924"/>
        <w:jc w:val="both"/>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outlineLvl w:val="9"/>
      </w:pPr>
      <w:r/>
      <w:bookmarkStart w:id="127" w:name="_Toc20052"/>
      <w:r/>
      <w:bookmarkStart w:id="128" w:name="_Toc16442"/>
      <w:r/>
      <w:bookmarkStart w:id="129" w:name="_Toc28289"/>
      <w:r/>
      <w:bookmarkStart w:id="130" w:name="_Toc14588"/>
      <w:r/>
      <w:bookmarkStart w:id="131" w:name="_Toc20404"/>
      <w:r/>
      <w:bookmarkStart w:id="132" w:name="_Toc369"/>
      <w:r/>
      <w:bookmarkStart w:id="133" w:name="_Toc8932"/>
      <w:r/>
      <w:r/>
    </w:p>
    <w:p>
      <w:pPr>
        <w:pStyle w:val="924"/>
        <w:jc w:val="center"/>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14:textFill>
            <w14:solidFill>
              <w14:schemeClr w14:val="tx1"/>
            </w14:solidFill>
          </w14:textFill>
        </w:rPr>
        <w:outlineLvl w:val="2"/>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27"/>
      <w:r/>
      <w:bookmarkEnd w:id="128"/>
      <w:r/>
      <w:bookmarkEnd w:id="129"/>
      <w:r/>
      <w:bookmarkEnd w:id="130"/>
      <w:r/>
      <w:bookmarkEnd w:id="131"/>
      <w:r/>
      <w:bookmarkEnd w:id="132"/>
      <w:r/>
      <w:bookmarkEnd w:id="133"/>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8" name="图片 11"/>
                <wp:cNvGraphicFramePr/>
                <a:graphic xmlns:a="http://schemas.openxmlformats.org/drawingml/2006/main">
                  <a:graphicData uri="http://schemas.openxmlformats.org/drawingml/2006/picture">
                    <pic:pic xmlns:pic="http://schemas.openxmlformats.org/drawingml/2006/picture">
                      <pic:nvPicPr>
                        <pic:cNvPr id="6" name="图片 11"/>
                        <pic:cNvPicPr/>
                        <pic:nvPr/>
                      </pic:nvPicPr>
                      <pic:blipFill>
                        <a:blip r:embed="rId12"/>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2" o:title=""/>
              </v:shape>
            </w:pict>
          </mc:Fallback>
        </mc:AlternateContent>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28"/>
        <w:jc w:val="center"/>
        <w:pageBreakBefore w:val="0"/>
        <w:spacing w:line="360" w:lineRule="auto"/>
        <w:rPr>
          <w:rStyle w:val="905"/>
          <w:rFonts w:hint="eastAsia" w:ascii="仿宋" w:hAnsi="仿宋" w:eastAsia="仿宋" w:cs="仿宋"/>
          <w:color w:val="000000" w:themeColor="text1"/>
          <w:sz w:val="24"/>
          <w:szCs w:val="24"/>
          <w:highlight w:val="none"/>
          <w14:textFill>
            <w14:solidFill>
              <w14:schemeClr w14:val="tx1"/>
            </w14:solidFill>
          </w14:textFill>
        </w:rPr>
        <w:outlineLvl w:val="1"/>
      </w:pPr>
      <w:r>
        <w:rPr>
          <w:rStyle w:val="905"/>
          <w:rFonts w:hint="eastAsia" w:ascii="仿宋" w:hAnsi="仿宋" w:eastAsia="仿宋" w:cs="仿宋"/>
          <w:color w:val="000000" w:themeColor="text1"/>
          <w:sz w:val="24"/>
          <w:szCs w:val="24"/>
          <w:highlight w:val="none"/>
          <w14:textFill>
            <w14:solidFill>
              <w14:schemeClr w14:val="tx1"/>
            </w14:solidFill>
          </w14:textFill>
        </w:rPr>
        <w:t xml:space="preserve">11、残疾人福利性单位声明函</w:t>
      </w:r>
      <w:r/>
    </w:p>
    <w:p>
      <w:pPr>
        <w:pStyle w:val="728"/>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28"/>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2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28"/>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2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jc w:val="left"/>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8"/>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26"/>
        <w:ind w:firstLine="496"/>
        <w:pageBreakBefore w:val="0"/>
        <w:spacing w:line="360" w:lineRule="auto"/>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 xml:space="preserve">说明：</w:t>
      </w:r>
      <w:r/>
    </w:p>
    <w:p>
      <w:pPr>
        <w:pStyle w:val="726"/>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737"/>
        <w:ind w:left="0" w:right="6"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 xml:space="preserve">12、技术方案</w:t>
      </w:r>
      <w:r/>
    </w:p>
    <w:p>
      <w:pPr>
        <w:pStyle w:val="737"/>
        <w:ind w:left="0"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6"/>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7"/>
        <w:ind w:left="0" w:firstLine="0"/>
        <w:jc w:val="center"/>
        <w:pageBreakBefore w:val="0"/>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737"/>
        <w:ind w:left="0" w:firstLine="0"/>
        <w:jc w:val="center"/>
        <w:pageBreakBefore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418" w:right="1474" w:bottom="1701" w:left="1588" w:header="851" w:footer="1418" w:gutter="0"/>
          <w:pgNumType w:start="1"/>
          <w:cols w:num="1" w:sep="0" w:space="720" w:equalWidth="1"/>
          <w:docGrid w:linePitch="360"/>
        </w:sectPr>
      </w:pPr>
      <w:r>
        <w:rPr>
          <w:rFonts w:hint="eastAsia" w:ascii="仿宋" w:hAnsi="仿宋" w:eastAsia="仿宋" w:cs="仿宋"/>
          <w:bCs/>
          <w:color w:val="000000" w:themeColor="text1"/>
          <w:sz w:val="24"/>
          <w:szCs w:val="24"/>
          <w:highlight w:val="none"/>
          <w14:textFill>
            <w14:solidFill>
              <w14:schemeClr w14:val="tx1"/>
            </w14:solidFill>
          </w14:textFill>
        </w:rPr>
        <w:t xml:space="preserve">（格式自拟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728"/>
        <w:numPr>
          <w:ilvl w:val="0"/>
          <w:numId w:val="0"/>
        </w:numPr>
        <w:ind w:left="0" w:firstLine="0"/>
        <w:jc w:val="center"/>
        <w:pageBreakBefore w:val="0"/>
        <w:spacing w:line="360" w:lineRule="auto"/>
        <w:rPr>
          <w:rFonts w:hint="eastAsia" w:ascii="仿宋" w:hAnsi="仿宋" w:eastAsia="仿宋" w:cs="仿宋"/>
          <w:b/>
          <w:color w:val="000000" w:themeColor="text1"/>
          <w:sz w:val="24"/>
          <w:szCs w:val="20"/>
          <w:highlight w:val="none"/>
          <w14:textFill>
            <w14:solidFill>
              <w14:schemeClr w14:val="tx1"/>
            </w14:solidFill>
          </w14:textFill>
        </w:rPr>
        <w:outlineLvl w:val="1"/>
      </w:pPr>
      <w:r>
        <w:rPr>
          <w:rFonts w:hint="eastAsia" w:ascii="仿宋" w:hAnsi="仿宋" w:eastAsia="仿宋" w:cs="仿宋"/>
          <w:b/>
          <w:color w:val="000000" w:themeColor="text1"/>
          <w:sz w:val="24"/>
          <w:szCs w:val="20"/>
          <w:highlight w:val="none"/>
          <w:lang w:val="en-US" w:eastAsia="zh-CN"/>
          <w14:textFill>
            <w14:solidFill>
              <w14:schemeClr w14:val="tx1"/>
            </w14:solidFill>
          </w14:textFill>
        </w:rPr>
        <w:t xml:space="preserve">13、</w:t>
      </w:r>
      <w:r>
        <w:rPr>
          <w:rFonts w:hint="eastAsia" w:ascii="仿宋" w:hAnsi="仿宋" w:eastAsia="仿宋" w:cs="仿宋"/>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highlight w:val="none"/>
          <w:lang w:val="en-US" w:eastAsia="zh-CN"/>
          <w14:textFill>
            <w14:solidFill>
              <w14:schemeClr w14:val="tx1"/>
            </w14:solidFill>
          </w14:textFill>
        </w:rPr>
      </w:r>
      <w:r/>
    </w:p>
    <w:p>
      <w:pPr>
        <w:pStyle w:val="734"/>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rPr>
          <w:rFonts w:hint="eastAsia" w:ascii="仿宋" w:hAnsi="仿宋" w:eastAsia="仿宋" w:cs="仿宋"/>
          <w:color w:val="auto"/>
          <w:sz w:val="24"/>
          <w:highlight w:val="none"/>
          <w:lang w:eastAsia="zh-CN"/>
        </w:rPr>
        <w:t xml:space="preserve">临沭路口袋公园工程项目</w:t>
      </w:r>
      <w:r/>
    </w:p>
    <w:p>
      <w:pPr>
        <w:pStyle w:val="734"/>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JSZC-320381-ZHYB-C2026-0003</w:t>
      </w:r>
      <w:r/>
    </w:p>
    <w:p>
      <w:pPr>
        <w:pStyle w:val="734"/>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34"/>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34"/>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36"/>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7"/>
        <w:rPr>
          <w:rFonts w:hint="eastAsia" w:ascii="仿宋" w:hAnsi="仿宋" w:eastAsia="仿宋" w:cs="仿宋"/>
          <w:color w:val="auto"/>
          <w:highlight w:val="none"/>
        </w:rPr>
      </w:pPr>
      <w:r>
        <w:rPr>
          <w:rFonts w:hint="eastAsia" w:ascii="仿宋" w:hAnsi="仿宋" w:eastAsia="仿宋" w:cs="仿宋"/>
          <w:color w:val="auto"/>
          <w:highlight w:val="none"/>
        </w:rPr>
      </w:r>
      <w:r/>
    </w:p>
    <w:p>
      <w:pPr>
        <w:pStyle w:val="728"/>
        <w:rPr>
          <w:rFonts w:hint="eastAsia" w:ascii="仿宋" w:hAnsi="仿宋" w:eastAsia="仿宋" w:cs="仿宋"/>
          <w:highlight w:val="none"/>
        </w:rPr>
      </w:pPr>
      <w:r>
        <w:rPr>
          <w:rFonts w:hint="eastAsia" w:ascii="仿宋" w:hAnsi="仿宋" w:eastAsia="仿宋" w:cs="仿宋"/>
          <w:highlight w:val="none"/>
        </w:rPr>
      </w:r>
      <w:r/>
    </w:p>
    <w:p>
      <w:pPr>
        <w:pStyle w:val="734"/>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建设工程施工合同</w:t>
      </w:r>
      <w:r/>
    </w:p>
    <w:p>
      <w:pPr>
        <w:pStyle w:val="734"/>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（示范文本）</w:t>
      </w:r>
      <w:r/>
    </w:p>
    <w:p>
      <w:pPr>
        <w:pStyle w:val="734"/>
        <w:jc w:val="center"/>
        <w:widowControl w:val="off"/>
        <w:rPr>
          <w:rFonts w:hint="eastAsia" w:ascii="仿宋" w:hAnsi="仿宋" w:eastAsia="仿宋" w:cs="仿宋"/>
          <w:bCs/>
          <w:color w:val="auto"/>
          <w:sz w:val="44"/>
          <w:szCs w:val="52"/>
          <w:highlight w:val="none"/>
        </w:rPr>
        <w:sectPr>
          <w:footerReference w:type="default" r:id="rId10"/>
          <w:footnotePr/>
          <w:endnotePr/>
          <w:type w:val="nextColumn"/>
          <w:pgSz w:w="11906" w:h="16838" w:orient="portrait"/>
          <w:pgMar w:top="1440" w:right="1588" w:bottom="1440" w:left="1588" w:header="851" w:footer="992" w:gutter="0"/>
          <w:cols w:num="1" w:sep="0" w:space="720" w:equalWidth="1"/>
          <w:docGrid w:linePitch="360"/>
        </w:sectPr>
      </w:pPr>
      <w:r>
        <w:rPr>
          <w:rFonts w:hint="eastAsia" w:ascii="仿宋" w:hAnsi="仿宋" w:eastAsia="仿宋" w:cs="仿宋"/>
          <w:bCs/>
          <w:color w:val="auto"/>
          <w:sz w:val="44"/>
          <w:szCs w:val="52"/>
          <w:highlight w:val="none"/>
        </w:rPr>
        <w:t xml:space="preserve">（GF—2017—0201）</w:t>
      </w:r>
      <w:r/>
    </w:p>
    <w:p>
      <w:pPr>
        <w:pStyle w:val="1010"/>
        <w:jc w:val="center"/>
        <w:rPr>
          <w:rFonts w:hint="eastAsia" w:ascii="仿宋" w:hAnsi="仿宋" w:eastAsia="仿宋" w:cs="仿宋"/>
          <w:b w:val="0"/>
          <w:color w:val="auto"/>
          <w:sz w:val="44"/>
          <w:szCs w:val="44"/>
          <w:highlight w:val="none"/>
        </w:rPr>
      </w:pPr>
      <w:r/>
      <w:bookmarkStart w:id="134" w:name="_Toc110245277"/>
      <w:r>
        <w:rPr>
          <w:rFonts w:hint="eastAsia" w:ascii="仿宋" w:hAnsi="仿宋" w:eastAsia="仿宋" w:cs="仿宋"/>
          <w:b w:val="0"/>
          <w:color w:val="auto"/>
          <w:sz w:val="44"/>
          <w:szCs w:val="44"/>
          <w:highlight w:val="none"/>
        </w:rPr>
        <w:t xml:space="preserve">第一部分 合同协议书</w:t>
      </w:r>
      <w:bookmarkEnd w:id="134"/>
      <w:r/>
      <w:r/>
    </w:p>
    <w:p>
      <w:pPr>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lang w:eastAsia="zh-CN"/>
        </w:rPr>
        <w:t xml:space="preserve">新沂市住房和城乡建设局</w:t>
      </w:r>
      <w:r/>
    </w:p>
    <w:p>
      <w:pPr>
        <w:spacing w:after="164"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lang w:eastAsia="zh-CN"/>
        </w:rPr>
        <w:t xml:space="preserve">临沭路口袋公园工程项目</w:t>
      </w:r>
      <w:r>
        <w:rPr>
          <w:rFonts w:hint="eastAsia" w:ascii="仿宋" w:hAnsi="仿宋" w:eastAsia="仿宋" w:cs="仿宋"/>
          <w:color w:val="auto"/>
          <w:sz w:val="24"/>
          <w:szCs w:val="24"/>
          <w:highlight w:val="none"/>
        </w:rPr>
        <w:t xml:space="preserve">施工及有关事项协商一致，共同达成如下协议：</w:t>
      </w:r>
      <w:r/>
    </w:p>
    <w:p>
      <w:pPr>
        <w:keepLines/>
        <w:keepNext/>
        <w:spacing w:before="327" w:line="360" w:lineRule="auto"/>
        <w:rPr>
          <w:rFonts w:hint="eastAsia" w:ascii="仿宋" w:hAnsi="仿宋" w:eastAsia="仿宋" w:cs="仿宋"/>
          <w:color w:val="auto"/>
          <w:sz w:val="24"/>
          <w:szCs w:val="24"/>
          <w:highlight w:val="none"/>
        </w:rPr>
        <w:outlineLvl w:val="3"/>
      </w:pPr>
      <w:r/>
      <w:bookmarkStart w:id="135" w:name="_Toc351203481"/>
      <w:r>
        <w:rPr>
          <w:rFonts w:hint="eastAsia" w:ascii="仿宋" w:hAnsi="仿宋" w:eastAsia="仿宋" w:cs="仿宋"/>
          <w:color w:val="auto"/>
          <w:sz w:val="24"/>
          <w:szCs w:val="24"/>
          <w:highlight w:val="none"/>
        </w:rPr>
        <w:t xml:space="preserve">一、工程概况</w:t>
      </w:r>
      <w:bookmarkEnd w:id="135"/>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                                            。</w:t>
      </w:r>
      <w:r/>
    </w:p>
    <w:p>
      <w:pPr>
        <w:keepLines/>
        <w:keepNext/>
        <w:spacing w:before="327" w:line="360" w:lineRule="auto"/>
        <w:rPr>
          <w:rFonts w:hint="eastAsia" w:ascii="仿宋" w:hAnsi="仿宋" w:eastAsia="仿宋" w:cs="仿宋"/>
          <w:color w:val="auto"/>
          <w:sz w:val="24"/>
          <w:szCs w:val="24"/>
          <w:highlight w:val="none"/>
        </w:rPr>
        <w:outlineLvl w:val="3"/>
      </w:pPr>
      <w:r/>
      <w:bookmarkStart w:id="136" w:name="_Toc351203482"/>
      <w:r>
        <w:rPr>
          <w:rFonts w:hint="eastAsia" w:ascii="仿宋" w:hAnsi="仿宋" w:eastAsia="仿宋" w:cs="仿宋"/>
          <w:color w:val="auto"/>
          <w:sz w:val="24"/>
          <w:szCs w:val="24"/>
          <w:highlight w:val="none"/>
        </w:rPr>
        <w:t xml:space="preserve">二、合同工期</w:t>
      </w:r>
      <w:bookmarkEnd w:id="136"/>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60</w:t>
      </w:r>
      <w:r>
        <w:rPr>
          <w:rFonts w:hint="eastAsia" w:ascii="仿宋" w:hAnsi="仿宋" w:eastAsia="仿宋" w:cs="仿宋"/>
          <w:color w:val="auto"/>
          <w:sz w:val="24"/>
          <w:szCs w:val="24"/>
          <w:highlight w:val="none"/>
          <w:lang w:val="en-US" w:eastAsia="zh-CN"/>
        </w:rPr>
        <w:t xml:space="preserve">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keepLines/>
        <w:keepNext/>
        <w:spacing w:before="327" w:line="360" w:lineRule="auto"/>
        <w:rPr>
          <w:rFonts w:hint="eastAsia" w:ascii="仿宋" w:hAnsi="仿宋" w:eastAsia="仿宋" w:cs="仿宋"/>
          <w:color w:val="auto"/>
          <w:sz w:val="24"/>
          <w:szCs w:val="24"/>
          <w:highlight w:val="none"/>
        </w:rPr>
        <w:outlineLvl w:val="3"/>
      </w:pPr>
      <w:r/>
      <w:bookmarkStart w:id="137" w:name="_Toc351203483"/>
      <w:r>
        <w:rPr>
          <w:rFonts w:hint="eastAsia" w:ascii="仿宋" w:hAnsi="仿宋" w:eastAsia="仿宋" w:cs="仿宋"/>
          <w:color w:val="auto"/>
          <w:sz w:val="24"/>
          <w:szCs w:val="24"/>
          <w:highlight w:val="none"/>
        </w:rPr>
        <w:t xml:space="preserve">三、质量标准</w:t>
      </w:r>
      <w:bookmarkEnd w:id="137"/>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w:t>
      </w:r>
      <w:r/>
    </w:p>
    <w:p>
      <w:pPr>
        <w:keepLines/>
        <w:keepNext/>
        <w:spacing w:before="327" w:line="360" w:lineRule="auto"/>
        <w:rPr>
          <w:rFonts w:hint="eastAsia" w:ascii="仿宋" w:hAnsi="仿宋" w:eastAsia="仿宋" w:cs="仿宋"/>
          <w:color w:val="auto"/>
          <w:sz w:val="24"/>
          <w:szCs w:val="24"/>
          <w:highlight w:val="none"/>
        </w:rPr>
        <w:outlineLvl w:val="3"/>
      </w:pPr>
      <w:r/>
      <w:bookmarkStart w:id="138" w:name="_Toc351203484"/>
      <w:r>
        <w:rPr>
          <w:rFonts w:hint="eastAsia" w:ascii="仿宋" w:hAnsi="仿宋" w:eastAsia="仿宋" w:cs="仿宋"/>
          <w:color w:val="auto"/>
          <w:sz w:val="24"/>
          <w:szCs w:val="24"/>
          <w:highlight w:val="none"/>
        </w:rPr>
        <w:t xml:space="preserve">四、签约合同价与合同价格形式</w:t>
      </w:r>
      <w:bookmarkEnd w:id="138"/>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39" w:name="_Toc351203485"/>
      <w:r>
        <w:rPr>
          <w:rFonts w:hint="eastAsia" w:ascii="仿宋" w:hAnsi="仿宋" w:eastAsia="仿宋" w:cs="仿宋"/>
          <w:color w:val="auto"/>
          <w:sz w:val="24"/>
          <w:szCs w:val="24"/>
          <w:highlight w:val="none"/>
        </w:rPr>
        <w:t xml:space="preserve">五、</w:t>
      </w:r>
      <w:bookmarkEnd w:id="139"/>
      <w:r>
        <w:rPr>
          <w:rFonts w:hint="eastAsia" w:ascii="仿宋" w:hAnsi="仿宋" w:eastAsia="仿宋" w:cs="仿宋"/>
          <w:color w:val="auto"/>
          <w:sz w:val="24"/>
          <w:szCs w:val="24"/>
          <w:highlight w:val="none"/>
        </w:rPr>
        <w:t xml:space="preserve">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40" w:name="_Toc351203486"/>
      <w:r>
        <w:rPr>
          <w:rFonts w:hint="eastAsia" w:ascii="仿宋" w:hAnsi="仿宋" w:eastAsia="仿宋" w:cs="仿宋"/>
          <w:color w:val="auto"/>
          <w:sz w:val="24"/>
          <w:szCs w:val="24"/>
          <w:highlight w:val="none"/>
        </w:rPr>
        <w:t xml:space="preserve">六、合同文件构成</w:t>
      </w:r>
      <w:bookmarkEnd w:id="1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327" w:line="360" w:lineRule="auto"/>
        <w:rPr>
          <w:rFonts w:hint="eastAsia" w:ascii="仿宋" w:hAnsi="仿宋" w:eastAsia="仿宋" w:cs="仿宋"/>
          <w:color w:val="auto"/>
          <w:sz w:val="24"/>
          <w:szCs w:val="24"/>
          <w:highlight w:val="none"/>
        </w:rPr>
        <w:outlineLvl w:val="2"/>
      </w:pPr>
      <w:r/>
      <w:bookmarkStart w:id="141" w:name="_Toc351203487"/>
      <w:r>
        <w:rPr>
          <w:rFonts w:hint="eastAsia" w:ascii="仿宋" w:hAnsi="仿宋" w:eastAsia="仿宋" w:cs="仿宋"/>
          <w:color w:val="auto"/>
          <w:sz w:val="24"/>
          <w:szCs w:val="24"/>
          <w:highlight w:val="none"/>
        </w:rPr>
        <w:t xml:space="preserve">七、承诺</w:t>
      </w:r>
      <w:bookmarkEnd w:id="14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keepLines/>
        <w:keepNext/>
        <w:spacing w:before="327" w:line="360" w:lineRule="auto"/>
        <w:rPr>
          <w:rFonts w:hint="eastAsia" w:ascii="仿宋" w:hAnsi="仿宋" w:eastAsia="仿宋" w:cs="仿宋"/>
          <w:color w:val="auto"/>
          <w:sz w:val="24"/>
          <w:szCs w:val="24"/>
          <w:highlight w:val="none"/>
        </w:rPr>
        <w:outlineLvl w:val="2"/>
      </w:pPr>
      <w:r/>
      <w:bookmarkStart w:id="142" w:name="_Toc351203488"/>
      <w:r>
        <w:rPr>
          <w:rFonts w:hint="eastAsia" w:ascii="仿宋" w:hAnsi="仿宋" w:eastAsia="仿宋" w:cs="仿宋"/>
          <w:color w:val="auto"/>
          <w:sz w:val="24"/>
          <w:szCs w:val="24"/>
          <w:highlight w:val="none"/>
        </w:rPr>
        <w:t xml:space="preserve">八、词语含义</w:t>
      </w:r>
      <w:bookmarkEnd w:id="14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本协议书中词语含义与第二部分通用合同条款中赋予的含义相同。</w:t>
      </w:r>
      <w:r/>
    </w:p>
    <w:p>
      <w:pPr>
        <w:keepLines/>
        <w:keepNext/>
        <w:spacing w:before="327" w:line="360" w:lineRule="auto"/>
        <w:rPr>
          <w:rFonts w:hint="eastAsia" w:ascii="仿宋" w:hAnsi="仿宋" w:eastAsia="仿宋" w:cs="仿宋"/>
          <w:color w:val="auto"/>
          <w:sz w:val="24"/>
          <w:szCs w:val="24"/>
          <w:highlight w:val="none"/>
        </w:rPr>
        <w:outlineLvl w:val="2"/>
      </w:pPr>
      <w:r/>
      <w:bookmarkStart w:id="143" w:name="_Toc351203489"/>
      <w:r>
        <w:rPr>
          <w:rFonts w:hint="eastAsia" w:ascii="仿宋" w:hAnsi="仿宋" w:eastAsia="仿宋" w:cs="仿宋"/>
          <w:color w:val="auto"/>
          <w:sz w:val="24"/>
          <w:szCs w:val="24"/>
          <w:highlight w:val="none"/>
        </w:rPr>
        <w:t xml:space="preserve">九、签订时间</w:t>
      </w:r>
      <w:bookmarkEnd w:id="14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4" w:name="_Toc351203490"/>
      <w:r>
        <w:rPr>
          <w:rFonts w:hint="eastAsia" w:ascii="仿宋" w:hAnsi="仿宋" w:eastAsia="仿宋" w:cs="仿宋"/>
          <w:color w:val="auto"/>
          <w:sz w:val="24"/>
          <w:szCs w:val="24"/>
          <w:highlight w:val="none"/>
        </w:rPr>
        <w:t xml:space="preserve">十、签订地点</w:t>
      </w:r>
      <w:bookmarkEnd w:id="14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江苏省新沂市   </w:t>
      </w:r>
      <w:r>
        <w:rPr>
          <w:rFonts w:hint="eastAsia" w:ascii="仿宋" w:hAnsi="仿宋" w:eastAsia="仿宋" w:cs="仿宋"/>
          <w:color w:val="auto"/>
          <w:sz w:val="24"/>
          <w:szCs w:val="24"/>
          <w:highlight w:val="none"/>
        </w:rPr>
        <w:t xml:space="preserve">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5" w:name="_Toc351203491"/>
      <w:r>
        <w:rPr>
          <w:rFonts w:hint="eastAsia" w:ascii="仿宋" w:hAnsi="仿宋" w:eastAsia="仿宋" w:cs="仿宋"/>
          <w:color w:val="auto"/>
          <w:sz w:val="24"/>
          <w:szCs w:val="24"/>
          <w:highlight w:val="none"/>
        </w:rPr>
        <w:t xml:space="preserve">十一、补充协议</w:t>
      </w:r>
      <w:bookmarkEnd w:id="145"/>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keepLines/>
        <w:keepNext/>
        <w:spacing w:before="327" w:line="360" w:lineRule="auto"/>
        <w:rPr>
          <w:rFonts w:hint="eastAsia" w:ascii="仿宋" w:hAnsi="仿宋" w:eastAsia="仿宋" w:cs="仿宋"/>
          <w:color w:val="auto"/>
          <w:sz w:val="24"/>
          <w:szCs w:val="24"/>
          <w:highlight w:val="none"/>
        </w:rPr>
        <w:outlineLvl w:val="2"/>
      </w:pPr>
      <w:r/>
      <w:bookmarkStart w:id="146" w:name="_Toc351203492"/>
      <w:r>
        <w:rPr>
          <w:rFonts w:hint="eastAsia" w:ascii="仿宋" w:hAnsi="仿宋" w:eastAsia="仿宋" w:cs="仿宋"/>
          <w:color w:val="auto"/>
          <w:sz w:val="24"/>
          <w:szCs w:val="24"/>
          <w:highlight w:val="none"/>
        </w:rPr>
        <w:t xml:space="preserve">十二、合同生效</w:t>
      </w:r>
      <w:bookmarkEnd w:id="1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 xml:space="preserve">生效。</w:t>
      </w:r>
      <w:r/>
    </w:p>
    <w:p>
      <w:pPr>
        <w:keepLines/>
        <w:keepNext/>
        <w:spacing w:before="327" w:line="360" w:lineRule="auto"/>
        <w:rPr>
          <w:rFonts w:hint="eastAsia" w:ascii="仿宋" w:hAnsi="仿宋" w:eastAsia="仿宋" w:cs="仿宋"/>
          <w:color w:val="auto"/>
          <w:sz w:val="24"/>
          <w:szCs w:val="24"/>
          <w:highlight w:val="none"/>
        </w:rPr>
        <w:outlineLvl w:val="2"/>
      </w:pPr>
      <w:r/>
      <w:bookmarkStart w:id="147" w:name="_Toc351203493"/>
      <w:r>
        <w:rPr>
          <w:rFonts w:hint="eastAsia" w:ascii="仿宋" w:hAnsi="仿宋" w:eastAsia="仿宋" w:cs="仿宋"/>
          <w:color w:val="auto"/>
          <w:sz w:val="24"/>
          <w:szCs w:val="24"/>
          <w:highlight w:val="none"/>
        </w:rPr>
        <w:t xml:space="preserve">十三、合同份数</w:t>
      </w:r>
      <w:bookmarkEnd w:id="14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肆  </w:t>
      </w:r>
      <w:r>
        <w:rPr>
          <w:rFonts w:hint="eastAsia" w:ascii="仿宋" w:hAnsi="仿宋" w:eastAsia="仿宋" w:cs="仿宋"/>
          <w:color w:val="auto"/>
          <w:sz w:val="24"/>
          <w:szCs w:val="24"/>
          <w:highlight w:val="none"/>
        </w:rPr>
        <w:t xml:space="preserve">份，均具有同等法律效力，发包人执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份，承包人执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87"/>
        <w:tblW w:w="9410" w:type="dxa"/>
        <w:jc w:val="center"/>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r>
    </w:tbl>
    <w:p>
      <w:pPr>
        <w:jc w:val="center"/>
        <w:keepLines/>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bookmarkStart w:id="148" w:name="_Toc498006745"/>
      <w:r/>
      <w:r/>
    </w:p>
    <w:p>
      <w:pPr>
        <w:jc w:val="center"/>
        <w:keepLines/>
        <w:keepNext/>
        <w:rPr>
          <w:rFonts w:hint="eastAsia" w:ascii="仿宋" w:hAnsi="仿宋" w:eastAsia="仿宋" w:cs="仿宋"/>
          <w:color w:val="auto"/>
          <w:sz w:val="32"/>
          <w:szCs w:val="32"/>
          <w:highlight w:val="none"/>
        </w:rPr>
        <w:outlineLvl w:val="3"/>
      </w:pPr>
      <w:r>
        <w:rPr>
          <w:rFonts w:hint="eastAsia" w:ascii="仿宋" w:hAnsi="仿宋" w:eastAsia="仿宋" w:cs="仿宋"/>
          <w:color w:val="auto"/>
          <w:sz w:val="32"/>
          <w:szCs w:val="32"/>
          <w:highlight w:val="none"/>
        </w:rPr>
        <w:t xml:space="preserve">第二部分 通用合同条款</w:t>
      </w:r>
      <w:bookmarkEnd w:id="14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采用《建设工程施工合同（示范文本）》（GF—2017—0201）。</w:t>
      </w:r>
      <w:r/>
    </w:p>
    <w:p>
      <w:pPr>
        <w:ind w:right="-36" w:firstLine="529"/>
        <w:spacing w:line="540" w:lineRule="exact"/>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0"/>
        <w:jc w:val="center"/>
        <w:rPr>
          <w:rFonts w:hint="eastAsia" w:ascii="仿宋" w:hAnsi="仿宋" w:eastAsia="仿宋" w:cs="仿宋"/>
          <w:color w:val="auto"/>
          <w:sz w:val="32"/>
          <w:szCs w:val="32"/>
          <w:highlight w:val="none"/>
        </w:rPr>
        <w:outlineLvl w:val="3"/>
      </w:pPr>
      <w:r>
        <w:rPr>
          <w:rFonts w:hint="eastAsia" w:ascii="仿宋" w:hAnsi="仿宋" w:eastAsia="仿宋" w:cs="仿宋"/>
          <w:color w:val="auto"/>
          <w:sz w:val="24"/>
          <w:szCs w:val="24"/>
          <w:highlight w:val="none"/>
        </w:rPr>
        <w:br w:type="page" w:clear="all"/>
      </w:r>
      <w:bookmarkStart w:id="149" w:name="_Toc110245278"/>
      <w:r/>
      <w:bookmarkStart w:id="150" w:name="_Toc498006746"/>
      <w:r>
        <w:rPr>
          <w:rFonts w:hint="eastAsia" w:ascii="仿宋" w:hAnsi="仿宋" w:eastAsia="仿宋" w:cs="仿宋"/>
          <w:b w:val="0"/>
          <w:color w:val="auto"/>
          <w:sz w:val="32"/>
          <w:szCs w:val="32"/>
          <w:highlight w:val="none"/>
        </w:rPr>
        <w:t xml:space="preserve">第三部分 专用合同条款</w:t>
      </w:r>
      <w:bookmarkEnd w:id="149"/>
      <w:r/>
      <w:bookmarkEnd w:id="150"/>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51" w:name="_Toc351203633"/>
      <w:r>
        <w:rPr>
          <w:rFonts w:hint="eastAsia" w:ascii="仿宋" w:hAnsi="仿宋" w:eastAsia="仿宋" w:cs="仿宋"/>
          <w:color w:val="auto"/>
          <w:sz w:val="24"/>
          <w:szCs w:val="24"/>
          <w:highlight w:val="none"/>
        </w:rPr>
        <w:t xml:space="preserve">1</w:t>
      </w:r>
      <w:bookmarkStart w:id="152" w:name="_Toc297048342"/>
      <w:r/>
      <w:bookmarkStart w:id="153" w:name="_Toc292559866"/>
      <w:r/>
      <w:bookmarkStart w:id="154" w:name="_Toc296503156"/>
      <w:r/>
      <w:bookmarkStart w:id="155" w:name="_Toc297120456"/>
      <w:r/>
      <w:bookmarkStart w:id="156" w:name="_Toc296944495"/>
      <w:r/>
      <w:bookmarkStart w:id="157" w:name="_Toc292559361"/>
      <w:r/>
      <w:bookmarkStart w:id="158" w:name="_Toc296346657"/>
      <w:r/>
      <w:bookmarkStart w:id="159" w:name="_Toc296347155"/>
      <w:r/>
      <w:bookmarkStart w:id="160" w:name="_Toc296891196"/>
      <w:r/>
      <w:bookmarkStart w:id="161" w:name="_Toc296890984"/>
      <w:r>
        <w:rPr>
          <w:rFonts w:hint="eastAsia" w:ascii="仿宋" w:hAnsi="仿宋" w:eastAsia="仿宋" w:cs="仿宋"/>
          <w:color w:val="auto"/>
          <w:sz w:val="24"/>
          <w:szCs w:val="24"/>
          <w:highlight w:val="none"/>
        </w:rPr>
        <w:t xml:space="preserve">. 一般约定</w:t>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1.1 词语定义</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1.1.1 合同</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1.1.1.1 其他合同文件包括：。</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1.1.2 合同当事人及其他相关方</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1.1.2.1 监理人：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1.1.2.2 设计人：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1.1.3 工程和设备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 作为施工现场组成部分的其他场所包括：</w:t>
      </w:r>
      <w:r>
        <w:rPr>
          <w:rFonts w:hint="eastAsia" w:ascii="仿宋" w:hAnsi="仿宋" w:eastAsia="仿宋" w:cs="仿宋"/>
          <w:color w:val="auto"/>
          <w:sz w:val="24"/>
          <w:szCs w:val="24"/>
          <w:highlight w:val="none"/>
          <w:u w:val="single"/>
        </w:rPr>
        <w:t xml:space="preserve">符合通用条款规定的发包人提供的施工场地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1.1.3.2 永久占地包括：</w:t>
      </w:r>
      <w:r>
        <w:rPr>
          <w:rFonts w:hint="eastAsia" w:ascii="仿宋" w:hAnsi="仿宋" w:eastAsia="仿宋" w:cs="仿宋"/>
          <w:color w:val="auto"/>
          <w:sz w:val="24"/>
          <w:szCs w:val="24"/>
          <w:highlight w:val="none"/>
          <w:u w:val="single"/>
        </w:rPr>
        <w:t xml:space="preserve">规划红线范围内的土地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 临时占地包括：</w:t>
      </w:r>
      <w:r>
        <w:rPr>
          <w:rFonts w:hint="eastAsia" w:ascii="仿宋" w:hAnsi="仿宋" w:eastAsia="仿宋" w:cs="仿宋"/>
          <w:color w:val="auto"/>
          <w:sz w:val="24"/>
          <w:szCs w:val="24"/>
          <w:highlight w:val="none"/>
          <w:u w:val="single"/>
        </w:rPr>
        <w:t xml:space="preserve">规划红线范围外因施工需要而占用的土地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 法律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 标准和规范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适用于工程的标准规范包括：</w:t>
      </w:r>
      <w:r>
        <w:rPr>
          <w:rFonts w:hint="eastAsia" w:ascii="仿宋" w:hAnsi="仿宋" w:eastAsia="仿宋" w:cs="仿宋"/>
          <w:color w:val="auto"/>
          <w:sz w:val="24"/>
          <w:szCs w:val="24"/>
          <w:highlight w:val="none"/>
          <w:u w:val="single"/>
        </w:rPr>
        <w:t xml:space="preserve">适用国家、行业及工程所在地现行的相关标准、规范、规定（对于同一标准、规范应以最新颁布者为准）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发包人对工程的技术标准和功能要求的特殊要求：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按设计图纸施工，若设计图纸中也没有的，经发包人批准后按发包人批准的要求执行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 合同文件的优先顺序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 图纸和承包人文件</w:t>
      </w:r>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1.5.1 图纸的提供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开工前5天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通过图纸审核的全套施工图纸及相关资料</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1.5.2 承包人文件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见上述条款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依据发包人需要</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书面形式，以上资料必须经总监理工程师签字认可后报发包人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收到齐全的资料后合理时间内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 现场图纸准备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执行通用条款中相关1.6.2、1.6.3约定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 联络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发包人和承包人应当在</w:t>
      </w:r>
      <w:r>
        <w:rPr>
          <w:rFonts w:hint="eastAsia" w:ascii="仿宋" w:hAnsi="仿宋" w:eastAsia="仿宋" w:cs="仿宋"/>
          <w:color w:val="auto"/>
          <w:sz w:val="24"/>
          <w:szCs w:val="24"/>
          <w:highlight w:val="none"/>
          <w:u w:val="single"/>
        </w:rPr>
        <w:t xml:space="preserve"> 7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发包人接收文件的地点：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 项目所在地监理人项目部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 交通运输</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2" w:name="_Toc303539100"/>
      <w:r/>
      <w:bookmarkStart w:id="163" w:name="_Toc300934943"/>
      <w:r/>
      <w:bookmarkStart w:id="164" w:name="_Toc312677986"/>
      <w:r/>
      <w:bookmarkStart w:id="165" w:name="_Toc318581155"/>
      <w:r/>
      <w:bookmarkStart w:id="166" w:name="_Toc304295521"/>
      <w:r>
        <w:rPr>
          <w:rFonts w:hint="eastAsia" w:ascii="仿宋" w:hAnsi="仿宋" w:eastAsia="仿宋" w:cs="仿宋"/>
          <w:color w:val="auto"/>
          <w:sz w:val="24"/>
          <w:szCs w:val="24"/>
          <w:highlight w:val="none"/>
        </w:rPr>
        <w:t xml:space="preserve">.7.1 出入现场的权利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仿宋" w:hAnsi="仿宋" w:eastAsia="仿宋" w:cs="仿宋"/>
          <w:color w:val="auto"/>
          <w:sz w:val="24"/>
          <w:szCs w:val="24"/>
          <w:highlight w:val="none"/>
        </w:rPr>
        <w:t xml:space="preserve">。</w:t>
      </w:r>
      <w:bookmarkEnd w:id="162"/>
      <w:r/>
      <w:bookmarkEnd w:id="163"/>
      <w:r/>
      <w:bookmarkEnd w:id="164"/>
      <w:r/>
      <w:bookmarkEnd w:id="165"/>
      <w:r/>
      <w:bookmarkEnd w:id="166"/>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7" w:name="_Toc304295522"/>
      <w:r/>
      <w:bookmarkStart w:id="168" w:name="_Toc318581156"/>
      <w:r/>
      <w:bookmarkStart w:id="169" w:name="_Toc312677987"/>
      <w:r/>
      <w:bookmarkStart w:id="170" w:name="_Toc300934944"/>
      <w:r/>
      <w:bookmarkStart w:id="171" w:name="_Toc303539101"/>
      <w:r>
        <w:rPr>
          <w:rFonts w:hint="eastAsia" w:ascii="仿宋" w:hAnsi="仿宋" w:eastAsia="仿宋" w:cs="仿宋"/>
          <w:color w:val="auto"/>
          <w:sz w:val="24"/>
          <w:szCs w:val="24"/>
          <w:highlight w:val="none"/>
        </w:rPr>
        <w:t xml:space="preserve">.7.2 场内交通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bookmarkEnd w:id="167"/>
      <w:r/>
      <w:bookmarkEnd w:id="168"/>
      <w:r/>
      <w:bookmarkEnd w:id="169"/>
      <w:r/>
      <w:bookmarkEnd w:id="170"/>
      <w:r/>
      <w:bookmarkEnd w:id="171"/>
      <w:r/>
      <w:bookmarkStart w:id="172" w:name="_Toc318581157"/>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1.7.3 超大件和超重件的运输</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bookmarkEnd w:id="17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 关于承包人为实施工程所编制文件的著作权的归属：</w:t>
      </w:r>
      <w:r>
        <w:rPr>
          <w:rFonts w:hint="eastAsia" w:ascii="仿宋" w:hAnsi="仿宋" w:eastAsia="仿宋" w:cs="仿宋"/>
          <w:color w:val="auto"/>
          <w:sz w:val="24"/>
          <w:szCs w:val="24"/>
          <w:highlight w:val="none"/>
          <w:u w:val="single"/>
        </w:rPr>
        <w:t xml:space="preserve"> 归承包人所有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 仅限于此工程项目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 工程量清单错误的修正</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出现工程量清单错误时，是否调整合同价格：</w:t>
      </w:r>
      <w:r>
        <w:rPr>
          <w:rFonts w:hint="eastAsia" w:ascii="仿宋" w:hAnsi="仿宋" w:eastAsia="仿宋" w:cs="仿宋"/>
          <w:b/>
          <w:color w:val="auto"/>
          <w:sz w:val="24"/>
          <w:szCs w:val="24"/>
          <w:highlight w:val="none"/>
          <w:u w:val="single"/>
        </w:rPr>
        <w:t xml:space="preserve"> 应在招标时提出，其他情况均不调整 </w:t>
      </w:r>
      <w:r>
        <w:rPr>
          <w:rFonts w:hint="eastAsia" w:ascii="仿宋" w:hAnsi="仿宋" w:eastAsia="仿宋" w:cs="仿宋"/>
          <w:b/>
          <w:color w:val="auto"/>
          <w:sz w:val="24"/>
          <w:szCs w:val="24"/>
          <w:highlight w:val="none"/>
        </w:rPr>
        <w:t xml:space="preserve">。</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允许调整合同价格的工程量偏差范围：</w:t>
      </w:r>
      <w:r>
        <w:rPr>
          <w:rFonts w:hint="eastAsia" w:ascii="仿宋" w:hAnsi="仿宋" w:eastAsia="仿宋" w:cs="仿宋"/>
          <w:b/>
          <w:color w:val="auto"/>
          <w:sz w:val="24"/>
          <w:szCs w:val="24"/>
          <w:highlight w:val="none"/>
          <w:u w:val="single"/>
        </w:rPr>
        <w:t xml:space="preserve">  /  </w:t>
      </w:r>
      <w:r>
        <w:rPr>
          <w:rFonts w:hint="eastAsia" w:ascii="仿宋" w:hAnsi="仿宋" w:eastAsia="仿宋" w:cs="仿宋"/>
          <w:b/>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73" w:name="_Toc351203634"/>
      <w:r>
        <w:rPr>
          <w:rFonts w:hint="eastAsia" w:ascii="仿宋" w:hAnsi="仿宋" w:eastAsia="仿宋" w:cs="仿宋"/>
          <w:color w:val="auto"/>
          <w:sz w:val="24"/>
          <w:szCs w:val="24"/>
          <w:highlight w:val="none"/>
        </w:rPr>
        <w:t xml:space="preserve">2</w:t>
      </w:r>
      <w:bookmarkStart w:id="174" w:name="_Toc292559867"/>
      <w:r/>
      <w:bookmarkStart w:id="175" w:name="_Toc296944496"/>
      <w:r/>
      <w:bookmarkStart w:id="176" w:name="_Toc292559362"/>
      <w:r/>
      <w:bookmarkStart w:id="177" w:name="_Toc296891197"/>
      <w:r/>
      <w:bookmarkStart w:id="178" w:name="_Toc296890985"/>
      <w:r/>
      <w:bookmarkStart w:id="179" w:name="_Toc296503157"/>
      <w:r/>
      <w:bookmarkStart w:id="180" w:name="_Toc296347156"/>
      <w:r/>
      <w:bookmarkStart w:id="181" w:name="_Toc297120457"/>
      <w:r/>
      <w:bookmarkStart w:id="182" w:name="_Toc296346658"/>
      <w:r/>
      <w:bookmarkStart w:id="183" w:name="_Toc297048343"/>
      <w:r>
        <w:rPr>
          <w:rFonts w:hint="eastAsia" w:ascii="仿宋" w:hAnsi="仿宋" w:eastAsia="仿宋" w:cs="仿宋"/>
          <w:color w:val="auto"/>
          <w:sz w:val="24"/>
          <w:szCs w:val="24"/>
          <w:highlight w:val="none"/>
        </w:rPr>
        <w:t xml:space="preserve">. 发包人</w:t>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2.1 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项目现场负责人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施工现场、施工条件和基础资料的提供</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2.2.1 提供施工现场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 场地移交可以全部移交，所移交的场地能满足施工要求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2.2.2 提供施工条件</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资金来源证明及支付担保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84" w:name="_Toc351203635"/>
      <w:r>
        <w:rPr>
          <w:rFonts w:hint="eastAsia" w:ascii="仿宋" w:hAnsi="仿宋" w:eastAsia="仿宋" w:cs="仿宋"/>
          <w:color w:val="auto"/>
          <w:sz w:val="24"/>
          <w:szCs w:val="24"/>
          <w:highlight w:val="none"/>
        </w:rPr>
        <w:t xml:space="preserve">3</w:t>
      </w:r>
      <w:bookmarkStart w:id="185" w:name="_Toc296944497"/>
      <w:r/>
      <w:bookmarkStart w:id="186" w:name="_Toc292559363"/>
      <w:r/>
      <w:bookmarkStart w:id="187" w:name="_Toc296503158"/>
      <w:r/>
      <w:bookmarkStart w:id="188" w:name="_Toc296347157"/>
      <w:r/>
      <w:bookmarkStart w:id="189" w:name="_Toc296890986"/>
      <w:r/>
      <w:bookmarkStart w:id="190" w:name="_Toc296891198"/>
      <w:r/>
      <w:bookmarkStart w:id="191" w:name="_Toc292559868"/>
      <w:r/>
      <w:bookmarkStart w:id="192" w:name="_Toc297120458"/>
      <w:r/>
      <w:bookmarkStart w:id="193" w:name="_Toc296346659"/>
      <w:r/>
      <w:bookmarkStart w:id="194" w:name="_Toc297048344"/>
      <w:r>
        <w:rPr>
          <w:rFonts w:hint="eastAsia" w:ascii="仿宋" w:hAnsi="仿宋" w:eastAsia="仿宋" w:cs="仿宋"/>
          <w:color w:val="auto"/>
          <w:sz w:val="24"/>
          <w:szCs w:val="24"/>
          <w:highlight w:val="none"/>
        </w:rPr>
        <w:t xml:space="preserve">. 承包人</w:t>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3.1 承包人的一般义务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rPr>
        <w:t xml:space="preserve">符合竣工资料规范要求（含竣工图及相关文件）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由承包人自行解决，费用包含在合同总价内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承包人在工程竣工后一个月内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符合竣工备案要求的纸质件（按要求盖章、签字）和电子件（刻光盘）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① 本工程实行总承包管理，土建安装施工单位为总承包管理单位，行使总包管理职能，承担总包管理责任。本工程承包人在完成本合同规</w:t>
      </w:r>
      <w:r>
        <w:rPr>
          <w:rFonts w:hint="eastAsia" w:ascii="仿宋" w:hAnsi="仿宋" w:eastAsia="仿宋" w:cs="仿宋"/>
          <w:color w:val="auto"/>
          <w:sz w:val="24"/>
          <w:szCs w:val="24"/>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仿宋" w:hAnsi="仿宋" w:eastAsia="仿宋" w:cs="仿宋"/>
          <w:color w:val="auto"/>
          <w:sz w:val="24"/>
          <w:szCs w:val="24"/>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仿宋" w:hAnsi="仿宋" w:eastAsia="仿宋" w:cs="仿宋"/>
          <w:color w:val="auto"/>
          <w:sz w:val="24"/>
          <w:szCs w:val="24"/>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3.2 项目经理</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3.2.1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7、组织工程成本分析、预测及控制，对项目资金管理与财务运作负责；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每周不少于6天，每天不少于7小时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发包人有权与承包人解除合同，已完工程，按照建设工程成本价结算，并追究由此带来的发包人一切损失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承包人擅自更换项目经理的违约责任：</w:t>
      </w:r>
      <w:r>
        <w:rPr>
          <w:rFonts w:hint="eastAsia" w:ascii="仿宋" w:hAnsi="仿宋" w:eastAsia="仿宋" w:cs="仿宋"/>
          <w:color w:val="auto"/>
          <w:sz w:val="24"/>
          <w:szCs w:val="24"/>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承包人无正当理由拒绝更换项目经理的违约责任：</w:t>
      </w:r>
      <w:r>
        <w:rPr>
          <w:rFonts w:hint="eastAsia" w:ascii="仿宋" w:hAnsi="仿宋" w:eastAsia="仿宋" w:cs="仿宋"/>
          <w:color w:val="auto"/>
          <w:sz w:val="24"/>
          <w:szCs w:val="24"/>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3.3 承包人人员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 承包人无正当理由拒绝撤换主要施工管理人员的违约责任：</w:t>
      </w:r>
      <w:r>
        <w:rPr>
          <w:rFonts w:hint="eastAsia" w:ascii="仿宋" w:hAnsi="仿宋" w:eastAsia="仿宋" w:cs="仿宋"/>
          <w:color w:val="auto"/>
          <w:sz w:val="24"/>
          <w:szCs w:val="24"/>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承包人主要施工管理人员离开施工现场的批准要求：</w:t>
      </w:r>
      <w:r>
        <w:rPr>
          <w:rFonts w:hint="eastAsia" w:ascii="仿宋" w:hAnsi="仿宋" w:eastAsia="仿宋" w:cs="仿宋"/>
          <w:color w:val="auto"/>
          <w:sz w:val="24"/>
          <w:szCs w:val="24"/>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 承包人擅自更换主要施工管理人员的违约责任：</w:t>
      </w:r>
      <w:r>
        <w:rPr>
          <w:rFonts w:hint="eastAsia" w:ascii="仿宋" w:hAnsi="仿宋" w:eastAsia="仿宋" w:cs="仿宋"/>
          <w:color w:val="auto"/>
          <w:sz w:val="24"/>
          <w:szCs w:val="24"/>
          <w:highlight w:val="none"/>
          <w:u w:val="single"/>
        </w:rPr>
        <w:t xml:space="preserve">承包人投标文件所载明的项目经理不得变更，如擅自变更，视为违约，发包人有权终止合同，并追究由此带来的发包人一切损失。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 承包人主要施工管理人员擅自离开施工现场的违约责任：</w:t>
      </w:r>
      <w:r>
        <w:rPr>
          <w:rFonts w:hint="eastAsia" w:ascii="仿宋" w:hAnsi="仿宋" w:eastAsia="仿宋" w:cs="仿宋"/>
          <w:color w:val="auto"/>
          <w:sz w:val="24"/>
          <w:szCs w:val="24"/>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3.3.6 承包人未按时每月发放农民工工资和及时结算社保资金的违约责任：</w:t>
      </w:r>
      <w:r>
        <w:rPr>
          <w:rFonts w:hint="eastAsia" w:ascii="仿宋" w:hAnsi="仿宋" w:eastAsia="仿宋" w:cs="仿宋"/>
          <w:color w:val="auto"/>
          <w:sz w:val="24"/>
          <w:szCs w:val="24"/>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3.3.7 对承包人失信行为的处罚：</w:t>
      </w:r>
      <w:r>
        <w:rPr>
          <w:rFonts w:hint="eastAsia" w:ascii="仿宋" w:hAnsi="仿宋" w:eastAsia="仿宋" w:cs="仿宋"/>
          <w:color w:val="auto"/>
          <w:sz w:val="24"/>
          <w:szCs w:val="24"/>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w:t>
      </w:r>
      <w:bookmarkStart w:id="195" w:name="_Toc292559364"/>
      <w:r/>
      <w:bookmarkStart w:id="196" w:name="_Toc296890987"/>
      <w:r/>
      <w:bookmarkStart w:id="197" w:name="_Toc297048345"/>
      <w:r/>
      <w:bookmarkStart w:id="198" w:name="_Toc296944498"/>
      <w:r/>
      <w:bookmarkStart w:id="199" w:name="_Toc300934945"/>
      <w:r/>
      <w:bookmarkStart w:id="200" w:name="_Toc297216151"/>
      <w:r/>
      <w:bookmarkStart w:id="201" w:name="_Toc303539102"/>
      <w:r/>
      <w:bookmarkStart w:id="202" w:name="_Toc296347158"/>
      <w:r/>
      <w:bookmarkStart w:id="203" w:name="_Toc304295523"/>
      <w:r/>
      <w:bookmarkStart w:id="204" w:name="_Toc297120459"/>
      <w:r/>
      <w:bookmarkStart w:id="205" w:name="_Toc312677988"/>
      <w:r/>
      <w:bookmarkStart w:id="206" w:name="_Toc296346660"/>
      <w:r/>
      <w:bookmarkStart w:id="207" w:name="_Toc296891199"/>
      <w:r/>
      <w:bookmarkStart w:id="208" w:name="_Toc296503159"/>
      <w:r/>
      <w:bookmarkStart w:id="209" w:name="_Toc297123492"/>
      <w:r/>
      <w:bookmarkStart w:id="210" w:name="_Toc292559869"/>
      <w:r>
        <w:rPr>
          <w:rFonts w:hint="eastAsia" w:ascii="仿宋" w:hAnsi="仿宋" w:eastAsia="仿宋" w:cs="仿宋"/>
          <w:color w:val="auto"/>
          <w:sz w:val="24"/>
          <w:szCs w:val="24"/>
          <w:highlight w:val="none"/>
        </w:rPr>
        <w:t xml:space="preserve">.4 分包</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3.4.1 分包的一般约定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w:t>
      </w:r>
      <w:bookmarkStart w:id="211" w:name="_Toc318581159"/>
      <w:r/>
      <w:bookmarkStart w:id="212" w:name="_Toc312677990"/>
      <w:r>
        <w:rPr>
          <w:rFonts w:hint="eastAsia" w:ascii="仿宋" w:hAnsi="仿宋" w:eastAsia="仿宋" w:cs="仿宋"/>
          <w:color w:val="auto"/>
          <w:sz w:val="24"/>
          <w:szCs w:val="24"/>
          <w:highlight w:val="none"/>
        </w:rPr>
        <w:t xml:space="preserve">.4.2 分包的确定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本工程不允许承包人有任何形式的转包和未经发包人允许的分包，否则发包人有权终止合同，一切损失由承包人承担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3.4.3 分包合同价款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bookmarkEnd w:id="211"/>
      <w:r/>
      <w:bookmarkEnd w:id="21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3.5 工程照管与成品、半成品保护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3.6 履约担保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是</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693"/>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履约担保的形式：银行支票、汇票； </w:t>
      </w:r>
      <w:r/>
    </w:p>
    <w:p>
      <w:pPr>
        <w:pStyle w:val="693"/>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履约担保金额：中标价的10%； </w:t>
      </w:r>
      <w:r/>
    </w:p>
    <w:p>
      <w:pPr>
        <w:pStyle w:val="693"/>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履约担保的提交方式：银行支票、汇票。</w:t>
      </w:r>
      <w:r/>
    </w:p>
    <w:p>
      <w:pPr>
        <w:pStyle w:val="693"/>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履约担保的递交时间：中标人自领取书面中标通知书 10日内按采购文件规定缴纳履约保证金。中标人未在规定时间内领取中标通知书或未在规定期限内缴纳履约保证金的，视为自动放弃中标资格。</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履约担保收款人:</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履约担保开户账号:</w:t>
      </w:r>
      <w:r/>
    </w:p>
    <w:p>
      <w:pPr>
        <w:pStyle w:val="693"/>
        <w:numPr>
          <w:ilvl w:val="0"/>
          <w:numId w:val="0"/>
        </w:numPr>
        <w:ind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履约保证金的返还（无息）：承包人在无违法、违纪现象的情况下，完成竣工结算审计后14日内，全额返还。</w:t>
      </w:r>
      <w:r/>
    </w:p>
    <w:p>
      <w:pPr>
        <w:ind w:firstLine="420"/>
        <w:keepLines/>
        <w:keepNext/>
        <w:spacing w:before="164" w:after="164" w:line="360" w:lineRule="auto"/>
        <w:rPr>
          <w:rFonts w:hint="eastAsia" w:ascii="仿宋" w:hAnsi="仿宋" w:eastAsia="仿宋" w:cs="仿宋"/>
          <w:color w:val="auto"/>
          <w:sz w:val="24"/>
          <w:szCs w:val="24"/>
          <w:highlight w:val="none"/>
        </w:rPr>
        <w:outlineLvl w:val="1"/>
      </w:pPr>
      <w:r/>
      <w:bookmarkStart w:id="213" w:name="_Toc351203636"/>
      <w:r>
        <w:rPr>
          <w:rFonts w:hint="eastAsia" w:ascii="仿宋" w:hAnsi="仿宋" w:eastAsia="仿宋" w:cs="仿宋"/>
          <w:color w:val="auto"/>
          <w:sz w:val="24"/>
          <w:szCs w:val="24"/>
          <w:highlight w:val="none"/>
        </w:rPr>
        <w:t xml:space="preserve">4</w:t>
      </w:r>
      <w:bookmarkStart w:id="214" w:name="_Toc292559871"/>
      <w:r/>
      <w:bookmarkStart w:id="215" w:name="_Toc296347161"/>
      <w:r/>
      <w:bookmarkStart w:id="216" w:name="_Toc296944501"/>
      <w:r/>
      <w:bookmarkStart w:id="217" w:name="_Toc296891202"/>
      <w:r/>
      <w:bookmarkStart w:id="218" w:name="_Toc267251413"/>
      <w:r/>
      <w:bookmarkStart w:id="219" w:name="_Toc297048348"/>
      <w:r/>
      <w:bookmarkStart w:id="220" w:name="_Toc296346663"/>
      <w:r/>
      <w:bookmarkStart w:id="221" w:name="_Toc296890990"/>
      <w:r/>
      <w:bookmarkStart w:id="222" w:name="_Toc296503162"/>
      <w:r/>
      <w:bookmarkStart w:id="223" w:name="_Toc292559366"/>
      <w:r/>
      <w:bookmarkStart w:id="224" w:name="_Toc297120462"/>
      <w:r>
        <w:rPr>
          <w:rFonts w:hint="eastAsia" w:ascii="仿宋" w:hAnsi="仿宋" w:eastAsia="仿宋" w:cs="仿宋"/>
          <w:color w:val="auto"/>
          <w:sz w:val="24"/>
          <w:szCs w:val="24"/>
          <w:highlight w:val="none"/>
        </w:rPr>
        <w:t xml:space="preserve">. 监</w:t>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仿宋" w:hAnsi="仿宋" w:eastAsia="仿宋" w:cs="仿宋"/>
          <w:color w:val="auto"/>
          <w:sz w:val="24"/>
          <w:szCs w:val="24"/>
          <w:highlight w:val="none"/>
        </w:rPr>
        <w:t xml:space="preserve">理人</w:t>
      </w:r>
      <w:bookmarkEnd w:id="21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4.1 监理人的一般规定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需要取得发包人批准才能行使的职权为工程款拨付、各项工程变更洽商的确认及重大质量、进度、安全问题的处理权</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承包人应积极配合向监理人提供施工现场的办公用房和生活场所，其费用已包含在合同总价中</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4.2 监理人员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具体见监理合同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 商定或确定</w:t>
      </w:r>
      <w:r/>
    </w:p>
    <w:p>
      <w:pPr>
        <w:ind w:firstLine="420"/>
        <w:spacing w:line="360" w:lineRule="auto"/>
        <w:rPr>
          <w:rFonts w:hint="eastAsia" w:ascii="仿宋" w:hAnsi="仿宋" w:eastAsia="仿宋" w:cs="仿宋"/>
          <w:color w:val="auto"/>
          <w:sz w:val="24"/>
          <w:szCs w:val="24"/>
          <w:highlight w:val="none"/>
        </w:rPr>
      </w:pPr>
      <w:r/>
      <w:bookmarkStart w:id="22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color w:val="auto"/>
          <w:sz w:val="24"/>
          <w:szCs w:val="24"/>
          <w:highlight w:val="none"/>
        </w:rPr>
      </w:pPr>
      <w:r/>
      <w:bookmarkStart w:id="22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另行约定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5</w:t>
      </w:r>
      <w:bookmarkEnd w:id="225"/>
      <w:r/>
      <w:bookmarkStart w:id="227" w:name="_Toc296347162"/>
      <w:r/>
      <w:bookmarkStart w:id="228" w:name="_Toc296890991"/>
      <w:r/>
      <w:bookmarkStart w:id="229" w:name="_Toc296346664"/>
      <w:r/>
      <w:bookmarkStart w:id="230" w:name="_Toc296891203"/>
      <w:r/>
      <w:bookmarkStart w:id="231" w:name="_Toc297048349"/>
      <w:r/>
      <w:bookmarkStart w:id="232" w:name="_Toc296944502"/>
      <w:r/>
      <w:bookmarkStart w:id="233" w:name="_Toc296503163"/>
      <w:r/>
      <w:bookmarkStart w:id="234" w:name="_Toc292559367"/>
      <w:r/>
      <w:bookmarkStart w:id="235" w:name="_Toc297120463"/>
      <w:r/>
      <w:bookmarkStart w:id="236" w:name="_Toc292559872"/>
      <w:r>
        <w:rPr>
          <w:rFonts w:hint="eastAsia" w:ascii="仿宋" w:hAnsi="仿宋" w:eastAsia="仿宋" w:cs="仿宋"/>
          <w:color w:val="auto"/>
          <w:sz w:val="24"/>
          <w:szCs w:val="24"/>
          <w:highlight w:val="none"/>
        </w:rPr>
        <w:t xml:space="preserve">. 工程质量</w:t>
      </w:r>
      <w:bookmarkEnd w:id="22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5.1 质量要求</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w:t>
      </w:r>
      <w:bookmarkStart w:id="237" w:name="_Toc304295527"/>
      <w:r/>
      <w:bookmarkStart w:id="238" w:name="_Toc312677997"/>
      <w:r/>
      <w:bookmarkStart w:id="239" w:name="_Toc300934949"/>
      <w:r/>
      <w:bookmarkStart w:id="240" w:name="_Toc303539106"/>
      <w:r/>
      <w:bookmarkStart w:id="241" w:name="_Toc297123496"/>
      <w:r/>
      <w:bookmarkStart w:id="242" w:name="_Toc318581164"/>
      <w:r/>
      <w:bookmarkStart w:id="243" w:name="_Toc297216155"/>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一次性验收合格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5.2 隐蔽工程检查</w:t>
      </w:r>
      <w:r/>
    </w:p>
    <w:p>
      <w:pPr>
        <w:ind w:firstLine="420"/>
        <w:spacing w:line="360" w:lineRule="auto"/>
        <w:rPr>
          <w:rFonts w:hint="eastAsia" w:ascii="仿宋" w:hAnsi="仿宋" w:eastAsia="仿宋" w:cs="仿宋"/>
          <w:color w:val="auto"/>
          <w:sz w:val="24"/>
          <w:szCs w:val="24"/>
          <w:highlight w:val="none"/>
        </w:rPr>
      </w:pPr>
      <w:r/>
      <w:bookmarkStart w:id="244" w:name="_Toc351203638"/>
      <w:r>
        <w:rPr>
          <w:rFonts w:hint="eastAsia" w:ascii="仿宋" w:hAnsi="仿宋" w:eastAsia="仿宋" w:cs="仿宋"/>
          <w:color w:val="auto"/>
          <w:sz w:val="24"/>
          <w:szCs w:val="24"/>
          <w:highlight w:val="none"/>
        </w:rPr>
        <w:t xml:space="preserve">5.2.1 承包人提前通知监理人隐蔽工程检查的期限的约定：</w:t>
      </w:r>
      <w:r>
        <w:rPr>
          <w:rFonts w:hint="eastAsia" w:ascii="仿宋" w:hAnsi="仿宋" w:eastAsia="仿宋" w:cs="仿宋"/>
          <w:color w:val="auto"/>
          <w:sz w:val="24"/>
          <w:szCs w:val="24"/>
          <w:highlight w:val="none"/>
          <w:u w:val="single"/>
        </w:rPr>
        <w:t xml:space="preserve">按质监部门的有关要求及通用条款规定执行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6. 安全文明施工与环境保护</w:t>
      </w:r>
      <w:bookmarkEnd w:id="24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6.1 安全文明施工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仿宋" w:hAnsi="仿宋" w:eastAsia="仿宋" w:cs="仿宋"/>
          <w:color w:val="auto"/>
          <w:sz w:val="24"/>
          <w:szCs w:val="24"/>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承包人应保证在整个合同履行过程中不发生民事或刑事案件，并承担施工安全保卫工作及非夜间施工照明的责任和要求：在实施和完成</w:t>
      </w:r>
      <w:r>
        <w:rPr>
          <w:rFonts w:hint="eastAsia" w:ascii="仿宋" w:hAnsi="仿宋" w:eastAsia="仿宋" w:cs="仿宋"/>
          <w:color w:val="auto"/>
          <w:sz w:val="24"/>
          <w:szCs w:val="24"/>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6.1.3 文明施工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按照《徐州市市区扬尘污染防治办</w:t>
      </w:r>
      <w:r>
        <w:rPr>
          <w:rFonts w:hint="eastAsia" w:ascii="仿宋" w:hAnsi="仿宋" w:eastAsia="仿宋" w:cs="仿宋"/>
          <w:color w:val="auto"/>
          <w:sz w:val="24"/>
          <w:szCs w:val="24"/>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保证道路交通安全及运输畅通,当施工期间，承包人必须与交通和公安部门协商，采取足够的交通疏导措施；承包人制定运输计划时，应避开现有道路上在高峰时的运输。投标人的扬尘防控环保要求必须符合严格按照现行有效文件执行。该费用已经包含在投标报价当中，结算不再增加此项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bookmarkEnd w:id="237"/>
      <w:r/>
      <w:bookmarkEnd w:id="238"/>
      <w:r/>
      <w:bookmarkEnd w:id="239"/>
      <w:r/>
      <w:bookmarkEnd w:id="240"/>
      <w:r/>
      <w:bookmarkEnd w:id="241"/>
      <w:r/>
      <w:bookmarkEnd w:id="242"/>
      <w:r/>
      <w:bookmarkEnd w:id="24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45" w:name="_Toc351203639"/>
      <w:r>
        <w:rPr>
          <w:rFonts w:hint="eastAsia" w:ascii="仿宋" w:hAnsi="仿宋" w:eastAsia="仿宋" w:cs="仿宋"/>
          <w:color w:val="auto"/>
          <w:sz w:val="24"/>
          <w:szCs w:val="24"/>
          <w:highlight w:val="none"/>
        </w:rPr>
        <w:t xml:space="preserve">7. 工期和进度</w:t>
      </w:r>
      <w:bookmarkEnd w:id="24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7.1 施工组织设计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7.1.2 施工组织设计的提交和修改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收到需要确认的文件后7日内。工程师对施工组织设计和进度计划的任何确认、调整和修改意见不免除和减轻承包人的工期责任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46" w:name="_Toc303539123"/>
      <w:r/>
      <w:bookmarkStart w:id="247" w:name="_Toc312677479"/>
      <w:r/>
      <w:bookmarkStart w:id="248" w:name="_Toc304295541"/>
      <w:r/>
      <w:bookmarkStart w:id="249" w:name="_Toc297216173"/>
      <w:r/>
      <w:bookmarkStart w:id="250" w:name="_Toc312678005"/>
      <w:r/>
      <w:bookmarkStart w:id="251" w:name="_Toc300934966"/>
      <w:r/>
      <w:bookmarkStart w:id="252" w:name="_Toc297123514"/>
      <w:r>
        <w:rPr>
          <w:rFonts w:hint="eastAsia" w:ascii="仿宋" w:hAnsi="仿宋" w:eastAsia="仿宋" w:cs="仿宋"/>
          <w:color w:val="auto"/>
          <w:sz w:val="24"/>
          <w:szCs w:val="24"/>
          <w:highlight w:val="none"/>
        </w:rPr>
        <w:t xml:space="preserve">.2 施工进度计划</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7.2.1 施工进度计划的修订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收到后一周内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7.3 开工</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7.3.1 开工准备</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开工前14日内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7.3.2 开工通知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 xml:space="preserve">天内发出开工通知的，承包人有权提出价格调整要求，或者解除合同。</w:t>
      </w:r>
      <w:bookmarkEnd w:id="246"/>
      <w:r/>
      <w:bookmarkEnd w:id="247"/>
      <w:r/>
      <w:bookmarkEnd w:id="248"/>
      <w:r/>
      <w:bookmarkEnd w:id="249"/>
      <w:r/>
      <w:bookmarkEnd w:id="250"/>
      <w:r/>
      <w:bookmarkEnd w:id="251"/>
      <w:r/>
      <w:bookmarkEnd w:id="2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7.4 测量放线</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 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53" w:name="_Toc300934968"/>
      <w:r/>
      <w:bookmarkStart w:id="254" w:name="_Toc297123516"/>
      <w:r/>
      <w:bookmarkStart w:id="255" w:name="_Toc297216175"/>
      <w:r/>
      <w:bookmarkStart w:id="256" w:name="_Toc303539125"/>
      <w:r/>
      <w:bookmarkStart w:id="257" w:name="_Toc312678010"/>
      <w:r/>
      <w:bookmarkStart w:id="258" w:name="_Toc304295546"/>
      <w:r/>
      <w:bookmarkStart w:id="259" w:name="_Toc312677484"/>
      <w:r>
        <w:rPr>
          <w:rFonts w:hint="eastAsia" w:ascii="仿宋" w:hAnsi="仿宋" w:eastAsia="仿宋" w:cs="仿宋"/>
          <w:color w:val="auto"/>
          <w:sz w:val="24"/>
          <w:szCs w:val="24"/>
          <w:highlight w:val="none"/>
        </w:rPr>
        <w:t xml:space="preserve">.5 工期延误</w:t>
      </w:r>
      <w:bookmarkEnd w:id="253"/>
      <w:r/>
      <w:bookmarkEnd w:id="254"/>
      <w:r/>
      <w:bookmarkEnd w:id="255"/>
      <w:r/>
      <w:bookmarkEnd w:id="256"/>
      <w:r/>
      <w:bookmarkEnd w:id="257"/>
      <w:r/>
      <w:bookmarkEnd w:id="258"/>
      <w:r/>
      <w:bookmarkEnd w:id="259"/>
      <w:r/>
      <w:r/>
    </w:p>
    <w:p>
      <w:pPr>
        <w:ind w:firstLine="420"/>
        <w:spacing w:line="360" w:lineRule="auto"/>
        <w:rPr>
          <w:rFonts w:hint="eastAsia" w:ascii="仿宋" w:hAnsi="仿宋" w:eastAsia="仿宋" w:cs="仿宋"/>
          <w:color w:val="auto"/>
          <w:sz w:val="24"/>
          <w:szCs w:val="24"/>
          <w:highlight w:val="none"/>
        </w:rPr>
        <w:outlineLvl w:val="3"/>
      </w:pPr>
      <w:r/>
      <w:bookmarkStart w:id="260" w:name="_Toc318581171"/>
      <w:r/>
      <w:bookmarkStart w:id="261" w:name="_Toc312678014"/>
      <w:r>
        <w:rPr>
          <w:rFonts w:hint="eastAsia" w:ascii="仿宋" w:hAnsi="仿宋" w:eastAsia="仿宋" w:cs="仿宋"/>
          <w:color w:val="auto"/>
          <w:sz w:val="24"/>
          <w:szCs w:val="24"/>
          <w:highlight w:val="none"/>
        </w:rPr>
        <w:t xml:space="preserve">7.5.1 因发包人原因导致工期延误</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w:t>
      </w:r>
      <w:bookmarkStart w:id="262" w:name="_Toc312677486"/>
      <w:r/>
      <w:bookmarkStart w:id="263" w:name="_Toc318581169"/>
      <w:r/>
      <w:bookmarkStart w:id="264" w:name="_Toc312678012"/>
      <w:r/>
      <w:bookmarkStart w:id="265" w:name="_Toc300934970"/>
      <w:r/>
      <w:bookmarkStart w:id="266" w:name="_Toc297216177"/>
      <w:r/>
      <w:bookmarkStart w:id="267" w:name="_Toc303539127"/>
      <w:r/>
      <w:bookmarkStart w:id="268" w:name="_Toc297123518"/>
      <w:r/>
      <w:bookmarkStart w:id="269" w:name="_Toc304295548"/>
      <w:r>
        <w:rPr>
          <w:rFonts w:hint="eastAsia" w:ascii="仿宋" w:hAnsi="仿宋" w:eastAsia="仿宋" w:cs="仿宋"/>
          <w:color w:val="auto"/>
          <w:sz w:val="24"/>
          <w:szCs w:val="24"/>
          <w:highlight w:val="none"/>
        </w:rPr>
        <w:t xml:space="preserve">.5.2 因承包人原因导致工期延误</w:t>
      </w:r>
      <w:bookmarkEnd w:id="262"/>
      <w:r/>
      <w:bookmarkEnd w:id="263"/>
      <w:r/>
      <w:bookmarkEnd w:id="26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70" w:name="_Toc312678013"/>
      <w:r/>
      <w:bookmarkStart w:id="271" w:name="_Toc318581170"/>
      <w:r/>
      <w:bookmarkStart w:id="272" w:name="_Toc312677487"/>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仿宋" w:hAnsi="仿宋" w:eastAsia="仿宋" w:cs="仿宋"/>
          <w:color w:val="auto"/>
          <w:sz w:val="24"/>
          <w:szCs w:val="24"/>
          <w:highlight w:val="none"/>
        </w:rPr>
        <w:t xml:space="preserve">。</w:t>
      </w:r>
      <w:bookmarkEnd w:id="265"/>
      <w:r/>
      <w:bookmarkEnd w:id="266"/>
      <w:r/>
      <w:bookmarkEnd w:id="267"/>
      <w:r/>
      <w:bookmarkEnd w:id="268"/>
      <w:r/>
      <w:bookmarkEnd w:id="269"/>
      <w:r/>
      <w:bookmarkEnd w:id="270"/>
      <w:r/>
      <w:bookmarkEnd w:id="271"/>
      <w:r/>
      <w:bookmarkEnd w:id="27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合同总价的 5 % </w:t>
      </w:r>
      <w:r>
        <w:rPr>
          <w:rFonts w:hint="eastAsia" w:ascii="仿宋" w:hAnsi="仿宋" w:eastAsia="仿宋" w:cs="仿宋"/>
          <w:color w:val="auto"/>
          <w:sz w:val="24"/>
          <w:szCs w:val="24"/>
          <w:highlight w:val="none"/>
        </w:rPr>
        <w:t xml:space="preserve">。</w:t>
      </w:r>
      <w:bookmarkEnd w:id="260"/>
      <w:r/>
      <w:bookmarkEnd w:id="2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73" w:name="_Toc303539128"/>
      <w:r/>
      <w:bookmarkStart w:id="274" w:name="_Toc300934971"/>
      <w:r/>
      <w:bookmarkStart w:id="275" w:name="_Toc297216178"/>
      <w:r/>
      <w:bookmarkStart w:id="276" w:name="_Toc297123519"/>
      <w:r/>
      <w:bookmarkStart w:id="277" w:name="_Toc312678015"/>
      <w:r/>
      <w:bookmarkStart w:id="278" w:name="_Toc304295549"/>
      <w:r>
        <w:rPr>
          <w:rFonts w:hint="eastAsia" w:ascii="仿宋" w:hAnsi="仿宋" w:eastAsia="仿宋" w:cs="仿宋"/>
          <w:color w:val="auto"/>
          <w:sz w:val="24"/>
          <w:szCs w:val="24"/>
          <w:highlight w:val="none"/>
        </w:rPr>
        <w:t xml:space="preserve">.6 不</w:t>
      </w:r>
      <w:bookmarkEnd w:id="273"/>
      <w:r/>
      <w:bookmarkEnd w:id="274"/>
      <w:r/>
      <w:bookmarkEnd w:id="275"/>
      <w:r/>
      <w:bookmarkEnd w:id="276"/>
      <w:r/>
      <w:bookmarkEnd w:id="277"/>
      <w:r/>
      <w:bookmarkEnd w:id="278"/>
      <w:r>
        <w:rPr>
          <w:rFonts w:hint="eastAsia" w:ascii="仿宋" w:hAnsi="仿宋" w:eastAsia="仿宋" w:cs="仿宋"/>
          <w:color w:val="auto"/>
          <w:sz w:val="24"/>
          <w:szCs w:val="24"/>
          <w:highlight w:val="none"/>
        </w:rPr>
        <w:t xml:space="preserve">利物质条件</w:t>
      </w:r>
      <w:r/>
    </w:p>
    <w:p>
      <w:pPr>
        <w:ind w:firstLine="420"/>
        <w:spacing w:line="360" w:lineRule="auto"/>
        <w:rPr>
          <w:rFonts w:hint="eastAsia" w:ascii="仿宋" w:hAnsi="仿宋" w:eastAsia="仿宋" w:cs="仿宋"/>
          <w:color w:val="auto"/>
          <w:sz w:val="24"/>
          <w:szCs w:val="24"/>
          <w:highlight w:val="none"/>
        </w:rPr>
      </w:pPr>
      <w:r/>
      <w:bookmarkStart w:id="279" w:name="_Toc297123520"/>
      <w:r/>
      <w:bookmarkStart w:id="280" w:name="_Toc312678016"/>
      <w:r/>
      <w:bookmarkStart w:id="281" w:name="_Toc300934972"/>
      <w:r/>
      <w:bookmarkStart w:id="282" w:name="_Toc304295550"/>
      <w:r/>
      <w:bookmarkStart w:id="283" w:name="_Toc303539129"/>
      <w:r/>
      <w:bookmarkStart w:id="284" w:name="_Toc318581172"/>
      <w:r/>
      <w:bookmarkStart w:id="285" w:name="_Toc297216179"/>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仿宋" w:hAnsi="仿宋" w:eastAsia="仿宋" w:cs="仿宋"/>
          <w:color w:val="auto"/>
          <w:sz w:val="24"/>
          <w:szCs w:val="24"/>
          <w:highlight w:val="none"/>
        </w:rPr>
        <w:t xml:space="preserve">。</w:t>
      </w:r>
      <w:bookmarkEnd w:id="279"/>
      <w:r/>
      <w:bookmarkEnd w:id="280"/>
      <w:r/>
      <w:bookmarkEnd w:id="281"/>
      <w:r/>
      <w:bookmarkEnd w:id="282"/>
      <w:r/>
      <w:bookmarkEnd w:id="283"/>
      <w:r/>
      <w:bookmarkEnd w:id="284"/>
      <w:r/>
      <w:bookmarkEnd w:id="2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86" w:name="_Toc312678017"/>
      <w:r/>
      <w:bookmarkStart w:id="287" w:name="_Toc297123521"/>
      <w:r/>
      <w:bookmarkStart w:id="288" w:name="_Toc297216180"/>
      <w:r/>
      <w:bookmarkStart w:id="289" w:name="_Toc303539130"/>
      <w:r/>
      <w:bookmarkStart w:id="290" w:name="_Toc304295551"/>
      <w:r/>
      <w:bookmarkStart w:id="291" w:name="_Toc300934973"/>
      <w:r>
        <w:rPr>
          <w:rFonts w:hint="eastAsia" w:ascii="仿宋" w:hAnsi="仿宋" w:eastAsia="仿宋" w:cs="仿宋"/>
          <w:color w:val="auto"/>
          <w:sz w:val="24"/>
          <w:szCs w:val="24"/>
          <w:highlight w:val="none"/>
        </w:rPr>
        <w:t xml:space="preserve">.7 异常恶劣的气候条件</w:t>
      </w:r>
      <w:bookmarkEnd w:id="286"/>
      <w:r/>
      <w:bookmarkEnd w:id="287"/>
      <w:r/>
      <w:bookmarkEnd w:id="288"/>
      <w:r/>
      <w:bookmarkEnd w:id="289"/>
      <w:r/>
      <w:bookmarkEnd w:id="290"/>
      <w:r/>
      <w:bookmarkEnd w:id="29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7.8 提前竣工的奖励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7.8.1 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92" w:name="_Toc351203640"/>
      <w:r>
        <w:rPr>
          <w:rFonts w:hint="eastAsia" w:ascii="仿宋" w:hAnsi="仿宋" w:eastAsia="仿宋" w:cs="仿宋"/>
          <w:color w:val="auto"/>
          <w:sz w:val="24"/>
          <w:szCs w:val="24"/>
          <w:highlight w:val="none"/>
        </w:rPr>
        <w:t xml:space="preserve">8. 材料与设备</w:t>
      </w:r>
      <w:bookmarkEnd w:id="227"/>
      <w:r/>
      <w:bookmarkEnd w:id="228"/>
      <w:r/>
      <w:bookmarkEnd w:id="229"/>
      <w:r/>
      <w:bookmarkEnd w:id="230"/>
      <w:r/>
      <w:bookmarkEnd w:id="231"/>
      <w:r/>
      <w:bookmarkEnd w:id="232"/>
      <w:r/>
      <w:bookmarkEnd w:id="233"/>
      <w:r/>
      <w:bookmarkEnd w:id="234"/>
      <w:r/>
      <w:bookmarkEnd w:id="235"/>
      <w:r/>
      <w:bookmarkEnd w:id="236"/>
      <w:r/>
      <w:bookmarkEnd w:id="29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w:t>
      </w:r>
      <w:bookmarkStart w:id="293" w:name="_Toc296944506"/>
      <w:r/>
      <w:bookmarkStart w:id="294" w:name="_Toc296347166"/>
      <w:r/>
      <w:bookmarkStart w:id="295" w:name="_Toc312677493"/>
      <w:r/>
      <w:bookmarkStart w:id="296" w:name="_Toc296891207"/>
      <w:r/>
      <w:bookmarkStart w:id="297" w:name="_Toc304295556"/>
      <w:r/>
      <w:bookmarkStart w:id="298" w:name="_Toc292559372"/>
      <w:r/>
      <w:bookmarkStart w:id="299" w:name="_Toc297048353"/>
      <w:r/>
      <w:bookmarkStart w:id="300" w:name="_Toc296346668"/>
      <w:r/>
      <w:bookmarkStart w:id="301" w:name="_Toc296890995"/>
      <w:r/>
      <w:bookmarkStart w:id="302" w:name="_Toc297123527"/>
      <w:r/>
      <w:bookmarkStart w:id="303" w:name="_Toc280868654"/>
      <w:r/>
      <w:bookmarkStart w:id="304" w:name="_Toc292559877"/>
      <w:r/>
      <w:bookmarkStart w:id="305" w:name="_Toc303539136"/>
      <w:r/>
      <w:bookmarkStart w:id="306" w:name="_Toc297216186"/>
      <w:r/>
      <w:bookmarkStart w:id="307" w:name="_Toc296503167"/>
      <w:r/>
      <w:bookmarkStart w:id="308" w:name="_Toc300934979"/>
      <w:r/>
      <w:bookmarkStart w:id="309" w:name="_Toc297120467"/>
      <w:r/>
      <w:bookmarkStart w:id="310" w:name="_Toc312678019"/>
      <w:r/>
      <w:bookmarkStart w:id="311" w:name="_Toc280868656"/>
      <w:r/>
      <w:bookmarkStart w:id="312" w:name="_Toc267251424"/>
      <w:r/>
      <w:bookmarkStart w:id="313" w:name="_Toc280868655"/>
      <w:r>
        <w:rPr>
          <w:rFonts w:hint="eastAsia" w:ascii="仿宋" w:hAnsi="仿宋" w:eastAsia="仿宋" w:cs="仿宋"/>
          <w:color w:val="auto"/>
          <w:sz w:val="24"/>
          <w:szCs w:val="24"/>
          <w:highlight w:val="none"/>
        </w:rPr>
        <w:t xml:space="preserve">.4 材料与工程设备的保管与使用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314" w:name="_Toc292559373"/>
      <w:r/>
      <w:bookmarkStart w:id="315" w:name="_Toc292559878"/>
      <w:r/>
      <w:bookmarkStart w:id="316" w:name="_Toc297123528"/>
      <w:r/>
      <w:bookmarkStart w:id="317" w:name="_Toc296347167"/>
      <w:r/>
      <w:bookmarkStart w:id="318" w:name="_Toc297048354"/>
      <w:r/>
      <w:bookmarkStart w:id="319" w:name="_Toc303539137"/>
      <w:r/>
      <w:bookmarkStart w:id="320" w:name="_Toc318581173"/>
      <w:r/>
      <w:bookmarkStart w:id="321" w:name="_Toc304295557"/>
      <w:r/>
      <w:bookmarkStart w:id="322" w:name="_Toc296346669"/>
      <w:r/>
      <w:bookmarkStart w:id="323" w:name="_Toc312677494"/>
      <w:r/>
      <w:bookmarkStart w:id="324" w:name="_Toc297120468"/>
      <w:r/>
      <w:bookmarkStart w:id="325" w:name="_Toc312678020"/>
      <w:r/>
      <w:bookmarkStart w:id="326" w:name="_Toc297216187"/>
      <w:r/>
      <w:bookmarkStart w:id="327" w:name="_Toc300934980"/>
      <w:r/>
      <w:bookmarkStart w:id="328" w:name="_Toc296944507"/>
      <w:r/>
      <w:bookmarkStart w:id="329" w:name="_Toc296891208"/>
      <w:r/>
      <w:bookmarkStart w:id="330" w:name="_Toc296503168"/>
      <w:r/>
      <w:bookmarkStart w:id="331" w:name="_Toc296890996"/>
      <w:r>
        <w:rPr>
          <w:rFonts w:hint="eastAsia" w:ascii="仿宋" w:hAnsi="仿宋" w:eastAsia="仿宋" w:cs="仿宋"/>
          <w:color w:val="auto"/>
          <w:sz w:val="24"/>
          <w:szCs w:val="24"/>
          <w:highlight w:val="none"/>
        </w:rPr>
        <w:t xml:space="preserve">.4.1 发包人供应的材料设备的保管费用的承担：</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4"/>
      <w:r/>
      <w:bookmarkEnd w:id="315"/>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8.4.2 本工程检测费用的承担：</w:t>
      </w:r>
      <w:r>
        <w:rPr>
          <w:rFonts w:hint="eastAsia" w:ascii="仿宋" w:hAnsi="仿宋" w:eastAsia="仿宋" w:cs="仿宋"/>
          <w:b/>
          <w:color w:val="auto"/>
          <w:sz w:val="24"/>
          <w:szCs w:val="24"/>
          <w:highlight w:val="none"/>
          <w:u w:val="single"/>
        </w:rPr>
        <w:t xml:space="preserve">承包人承担，包含在投标报价中，发包人不在另行支付。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8.5 样品</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8.5.1 样品的报送与封存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8.6 施工设备和临时设施</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8.6.1 承包人提供的施工设备和临时设施</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32" w:name="_Toc351203641"/>
      <w:r>
        <w:rPr>
          <w:rFonts w:hint="eastAsia" w:ascii="仿宋" w:hAnsi="仿宋" w:eastAsia="仿宋" w:cs="仿宋"/>
          <w:color w:val="auto"/>
          <w:sz w:val="24"/>
          <w:szCs w:val="24"/>
          <w:highlight w:val="none"/>
        </w:rPr>
        <w:t xml:space="preserve">9</w:t>
      </w:r>
      <w:bookmarkEnd w:id="311"/>
      <w:r/>
      <w:bookmarkEnd w:id="312"/>
      <w:r/>
      <w:bookmarkEnd w:id="313"/>
      <w:r/>
      <w:bookmarkStart w:id="333" w:name="_Toc297216192"/>
      <w:r/>
      <w:bookmarkStart w:id="334" w:name="_Toc312677495"/>
      <w:r/>
      <w:bookmarkStart w:id="335" w:name="_Toc304295559"/>
      <w:r/>
      <w:bookmarkStart w:id="336" w:name="_Toc312678021"/>
      <w:r/>
      <w:bookmarkStart w:id="337" w:name="_Toc303539139"/>
      <w:r/>
      <w:bookmarkStart w:id="338" w:name="_Toc297123533"/>
      <w:r/>
      <w:bookmarkStart w:id="339" w:name="_Toc300934982"/>
      <w:r/>
      <w:bookmarkStart w:id="340" w:name="_Toc297048359"/>
      <w:r/>
      <w:bookmarkStart w:id="341" w:name="_Toc292559378"/>
      <w:r/>
      <w:bookmarkStart w:id="342" w:name="_Toc296346674"/>
      <w:r/>
      <w:bookmarkStart w:id="343" w:name="_Toc296347172"/>
      <w:r/>
      <w:bookmarkStart w:id="344" w:name="_Toc297120473"/>
      <w:r/>
      <w:bookmarkStart w:id="345" w:name="_Toc267251428"/>
      <w:r/>
      <w:bookmarkStart w:id="346" w:name="_Toc292559883"/>
      <w:r/>
      <w:bookmarkStart w:id="347" w:name="_Toc267251427"/>
      <w:r/>
      <w:bookmarkStart w:id="348" w:name="_Toc296891213"/>
      <w:r/>
      <w:bookmarkStart w:id="349" w:name="_Toc296944512"/>
      <w:r/>
      <w:bookmarkStart w:id="350" w:name="_Toc296891001"/>
      <w:r/>
      <w:bookmarkStart w:id="351" w:name="_Toc296503173"/>
      <w:r>
        <w:rPr>
          <w:rFonts w:hint="eastAsia" w:ascii="仿宋" w:hAnsi="仿宋" w:eastAsia="仿宋" w:cs="仿宋"/>
          <w:color w:val="auto"/>
          <w:sz w:val="24"/>
          <w:szCs w:val="24"/>
          <w:highlight w:val="none"/>
        </w:rPr>
        <w:t xml:space="preserve">. 试验与检验</w:t>
      </w:r>
      <w:bookmarkEnd w:id="332"/>
      <w:r/>
      <w:bookmarkEnd w:id="333"/>
      <w:r/>
      <w:bookmarkEnd w:id="334"/>
      <w:r/>
      <w:bookmarkEnd w:id="335"/>
      <w:r/>
      <w:bookmarkEnd w:id="336"/>
      <w:r/>
      <w:bookmarkEnd w:id="337"/>
      <w:r/>
      <w:bookmarkEnd w:id="338"/>
      <w:r/>
      <w:bookmarkEnd w:id="33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w:t>
      </w:r>
      <w:bookmarkStart w:id="352" w:name="_Toc304295560"/>
      <w:r/>
      <w:bookmarkStart w:id="353" w:name="_Toc297216193"/>
      <w:r/>
      <w:bookmarkStart w:id="354" w:name="_Toc312678022"/>
      <w:r/>
      <w:bookmarkStart w:id="355" w:name="_Toc312677496"/>
      <w:r/>
      <w:bookmarkStart w:id="356" w:name="_Toc303539140"/>
      <w:r/>
      <w:bookmarkStart w:id="357" w:name="_Toc297123534"/>
      <w:r/>
      <w:bookmarkStart w:id="358" w:name="_Toc300934983"/>
      <w:r>
        <w:rPr>
          <w:rFonts w:hint="eastAsia" w:ascii="仿宋" w:hAnsi="仿宋" w:eastAsia="仿宋" w:cs="仿宋"/>
          <w:color w:val="auto"/>
          <w:sz w:val="24"/>
          <w:szCs w:val="24"/>
          <w:highlight w:val="none"/>
        </w:rPr>
        <w:t xml:space="preserve">.1 试验设备与试验人员</w:t>
      </w:r>
      <w:bookmarkEnd w:id="352"/>
      <w:r/>
      <w:bookmarkEnd w:id="353"/>
      <w:r/>
      <w:bookmarkEnd w:id="354"/>
      <w:r/>
      <w:bookmarkEnd w:id="355"/>
      <w:r/>
      <w:bookmarkEnd w:id="356"/>
      <w:r/>
      <w:bookmarkEnd w:id="357"/>
      <w:r/>
      <w:bookmarkEnd w:id="358"/>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9</w:t>
      </w:r>
      <w:bookmarkStart w:id="359" w:name="_Toc312677497"/>
      <w:r/>
      <w:bookmarkStart w:id="360" w:name="_Toc303539141"/>
      <w:r/>
      <w:bookmarkStart w:id="361" w:name="_Toc312678023"/>
      <w:r/>
      <w:bookmarkStart w:id="362" w:name="_Toc300934984"/>
      <w:r/>
      <w:bookmarkStart w:id="363" w:name="_Toc297216194"/>
      <w:r/>
      <w:bookmarkStart w:id="364" w:name="_Toc297123535"/>
      <w:r/>
      <w:bookmarkStart w:id="365" w:name="_Toc304295561"/>
      <w:r/>
      <w:bookmarkStart w:id="366" w:name="_Toc318581174"/>
      <w:r>
        <w:rPr>
          <w:rFonts w:hint="eastAsia" w:ascii="仿宋" w:hAnsi="仿宋" w:eastAsia="仿宋" w:cs="仿宋"/>
          <w:color w:val="auto"/>
          <w:sz w:val="24"/>
          <w:szCs w:val="24"/>
          <w:highlight w:val="none"/>
        </w:rPr>
        <w:t xml:space="preserve">.1.1 试验设备</w:t>
      </w:r>
      <w:bookmarkEnd w:id="359"/>
      <w:r/>
      <w:bookmarkEnd w:id="360"/>
      <w:r/>
      <w:bookmarkEnd w:id="361"/>
      <w:r/>
      <w:bookmarkEnd w:id="362"/>
      <w:r/>
      <w:bookmarkEnd w:id="363"/>
      <w:r/>
      <w:bookmarkEnd w:id="364"/>
      <w:r/>
      <w:bookmarkEnd w:id="365"/>
      <w:r/>
      <w:r/>
    </w:p>
    <w:p>
      <w:pPr>
        <w:ind w:firstLine="420"/>
        <w:spacing w:line="360" w:lineRule="auto"/>
        <w:rPr>
          <w:rFonts w:hint="eastAsia" w:ascii="仿宋" w:hAnsi="仿宋" w:eastAsia="仿宋" w:cs="仿宋"/>
          <w:color w:val="auto"/>
          <w:sz w:val="24"/>
          <w:szCs w:val="24"/>
          <w:highlight w:val="none"/>
        </w:rPr>
      </w:pPr>
      <w:r/>
      <w:bookmarkStart w:id="367" w:name="_Toc304295562"/>
      <w:r/>
      <w:bookmarkStart w:id="368" w:name="_Toc312678024"/>
      <w:r/>
      <w:bookmarkStart w:id="369" w:name="_Toc312677498"/>
      <w:r/>
      <w:bookmarkStart w:id="370" w:name="_Toc297123536"/>
      <w:r/>
      <w:bookmarkStart w:id="371" w:name="_Toc297216195"/>
      <w:r/>
      <w:bookmarkStart w:id="372" w:name="_Toc300934985"/>
      <w:r/>
      <w:bookmarkStart w:id="373" w:name="_Toc303539142"/>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由承包人根据工程情况自行设置建设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9.2 现场工艺试验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366"/>
      <w:r/>
      <w:bookmarkEnd w:id="367"/>
      <w:r/>
      <w:bookmarkEnd w:id="368"/>
      <w:r/>
      <w:bookmarkEnd w:id="369"/>
      <w:r/>
      <w:bookmarkEnd w:id="370"/>
      <w:r/>
      <w:bookmarkEnd w:id="371"/>
      <w:r/>
      <w:bookmarkEnd w:id="372"/>
      <w:r/>
      <w:bookmarkEnd w:id="37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74" w:name="_Toc351203642"/>
      <w:r>
        <w:rPr>
          <w:rFonts w:hint="eastAsia" w:ascii="仿宋" w:hAnsi="仿宋" w:eastAsia="仿宋" w:cs="仿宋"/>
          <w:color w:val="auto"/>
          <w:sz w:val="24"/>
          <w:szCs w:val="24"/>
          <w:highlight w:val="none"/>
        </w:rPr>
        <w:t xml:space="preserve">1</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75" w:name="_Toc304295566"/>
      <w:r/>
      <w:bookmarkStart w:id="376" w:name="_Toc292559398"/>
      <w:r/>
      <w:bookmarkStart w:id="377" w:name="_Toc296346694"/>
      <w:r/>
      <w:bookmarkStart w:id="378" w:name="_Toc297216199"/>
      <w:r/>
      <w:bookmarkStart w:id="379" w:name="_Toc296891233"/>
      <w:r/>
      <w:bookmarkStart w:id="380" w:name="_Toc297123540"/>
      <w:r/>
      <w:bookmarkStart w:id="381" w:name="_Toc292559903"/>
      <w:r/>
      <w:bookmarkStart w:id="382" w:name="_Toc297048379"/>
      <w:r/>
      <w:bookmarkStart w:id="383" w:name="_Toc312678025"/>
      <w:r/>
      <w:bookmarkStart w:id="384" w:name="_Toc296944532"/>
      <w:r/>
      <w:bookmarkStart w:id="385" w:name="_Toc303539146"/>
      <w:r/>
      <w:bookmarkStart w:id="386" w:name="_Toc296347192"/>
      <w:r/>
      <w:bookmarkStart w:id="387" w:name="_Toc300934989"/>
      <w:r/>
      <w:bookmarkStart w:id="388" w:name="_Toc296891021"/>
      <w:r/>
      <w:bookmarkStart w:id="389" w:name="_Toc297120493"/>
      <w:r/>
      <w:bookmarkStart w:id="390" w:name="_Toc312677499"/>
      <w:r/>
      <w:bookmarkStart w:id="391" w:name="_Toc296503193"/>
      <w:r/>
      <w:bookmarkStart w:id="392" w:name="_Toc267251433"/>
      <w:r/>
      <w:bookmarkStart w:id="393" w:name="_Toc267251439"/>
      <w:r/>
      <w:bookmarkStart w:id="394" w:name="_Toc267251437"/>
      <w:r/>
      <w:bookmarkStart w:id="395" w:name="_Toc267251435"/>
      <w:r/>
      <w:bookmarkStart w:id="396" w:name="_Toc267251440"/>
      <w:r/>
      <w:bookmarkStart w:id="397" w:name="_Toc267251441"/>
      <w:r/>
      <w:bookmarkStart w:id="398" w:name="_Toc267251442"/>
      <w:r>
        <w:rPr>
          <w:rFonts w:hint="eastAsia" w:ascii="仿宋" w:hAnsi="仿宋" w:eastAsia="仿宋" w:cs="仿宋"/>
          <w:color w:val="auto"/>
          <w:sz w:val="24"/>
          <w:szCs w:val="24"/>
          <w:highlight w:val="none"/>
        </w:rPr>
        <w:t xml:space="preserve">0. 变更</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399" w:name="_Toc292559904"/>
      <w:r/>
      <w:bookmarkStart w:id="400" w:name="_Toc296891022"/>
      <w:r/>
      <w:bookmarkStart w:id="401" w:name="_Toc296347193"/>
      <w:r/>
      <w:bookmarkStart w:id="402" w:name="_Toc297120494"/>
      <w:r/>
      <w:bookmarkStart w:id="403" w:name="_Toc303539147"/>
      <w:r/>
      <w:bookmarkStart w:id="404" w:name="_Toc297048380"/>
      <w:r/>
      <w:bookmarkStart w:id="405" w:name="_Toc296944533"/>
      <w:r/>
      <w:bookmarkStart w:id="406" w:name="_Toc304295567"/>
      <w:r/>
      <w:bookmarkStart w:id="407" w:name="_Toc312678026"/>
      <w:r/>
      <w:bookmarkStart w:id="408" w:name="_Toc297216200"/>
      <w:r/>
      <w:bookmarkStart w:id="409" w:name="_Toc297123541"/>
      <w:r/>
      <w:bookmarkStart w:id="410" w:name="_Toc296891234"/>
      <w:r/>
      <w:bookmarkStart w:id="411" w:name="_Toc296503194"/>
      <w:r/>
      <w:bookmarkStart w:id="412" w:name="_Toc292559399"/>
      <w:r/>
      <w:bookmarkStart w:id="413" w:name="_Toc300934990"/>
      <w:r/>
      <w:bookmarkStart w:id="414" w:name="_Toc312677500"/>
      <w:r/>
      <w:bookmarkStart w:id="415" w:name="_Toc296346695"/>
      <w:r>
        <w:rPr>
          <w:rFonts w:hint="eastAsia" w:ascii="仿宋" w:hAnsi="仿宋" w:eastAsia="仿宋" w:cs="仿宋"/>
          <w:color w:val="auto"/>
          <w:sz w:val="24"/>
          <w:szCs w:val="24"/>
          <w:highlight w:val="none"/>
        </w:rPr>
        <w:t xml:space="preserve">0.1 变更的范围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工程的设计变更由发包人提前通知监理、承包人，承包人应执行变更，工程变更、签证应先进行费用审批后实施</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10.2 变更估价</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10.2.1 变更估价原则</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① 对承包人超出设计图纸（含设计变更）范围和因承包人原因造成返工的工程量，发包人不予计量；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 所有涉及工程造价确定方面的资料（含所有的变更签证资料），必须经过发包人代表的书面确认后，方可作为竣工后价款结算的唯一依据。</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Start w:id="416" w:name="_Toc297120497"/>
      <w:r/>
      <w:bookmarkStart w:id="417" w:name="_Toc292559907"/>
      <w:r/>
      <w:bookmarkStart w:id="418" w:name="_Toc296347196"/>
      <w:r/>
      <w:bookmarkStart w:id="419" w:name="_Toc300934993"/>
      <w:r/>
      <w:bookmarkStart w:id="420" w:name="_Toc303539150"/>
      <w:r/>
      <w:bookmarkStart w:id="421" w:name="_Toc296944536"/>
      <w:r/>
      <w:bookmarkStart w:id="422" w:name="_Toc297123544"/>
      <w:r/>
      <w:bookmarkStart w:id="423" w:name="_Toc297216203"/>
      <w:r/>
      <w:bookmarkStart w:id="424" w:name="_Toc296891025"/>
      <w:r/>
      <w:bookmarkStart w:id="425" w:name="_Toc292559402"/>
      <w:r/>
      <w:bookmarkStart w:id="426" w:name="_Toc296503197"/>
      <w:r/>
      <w:bookmarkStart w:id="427" w:name="_Toc296346698"/>
      <w:r/>
      <w:bookmarkStart w:id="428" w:name="_Toc297048383"/>
      <w:r/>
      <w:bookmarkStart w:id="429" w:name="_Toc296891237"/>
      <w:r/>
      <w:bookmarkStart w:id="430" w:name="_Toc304295570"/>
      <w:r/>
      <w:bookmarkStart w:id="431" w:name="_Toc312678029"/>
      <w:r/>
      <w:bookmarkStart w:id="432" w:name="_Toc312677503"/>
      <w:r>
        <w:rPr>
          <w:rFonts w:hint="eastAsia" w:ascii="仿宋" w:hAnsi="仿宋" w:eastAsia="仿宋" w:cs="仿宋"/>
          <w:color w:val="auto"/>
          <w:sz w:val="24"/>
          <w:szCs w:val="24"/>
          <w:highlight w:val="none"/>
        </w:rPr>
        <w:t xml:space="preserve">0.3 承</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33" w:name="_Toc296944542"/>
      <w:r/>
      <w:bookmarkStart w:id="434" w:name="_Toc292559913"/>
      <w:r/>
      <w:bookmarkStart w:id="435" w:name="_Toc296346704"/>
      <w:r/>
      <w:bookmarkStart w:id="436" w:name="_Toc300934994"/>
      <w:r/>
      <w:bookmarkStart w:id="437" w:name="_Toc296347202"/>
      <w:r/>
      <w:bookmarkStart w:id="438" w:name="_Toc296503203"/>
      <w:r/>
      <w:bookmarkStart w:id="439" w:name="_Toc297123545"/>
      <w:r/>
      <w:bookmarkStart w:id="440" w:name="_Toc297048389"/>
      <w:r/>
      <w:bookmarkStart w:id="441" w:name="_Toc292559408"/>
      <w:r/>
      <w:bookmarkStart w:id="442" w:name="_Toc297216204"/>
      <w:r/>
      <w:bookmarkStart w:id="443" w:name="_Toc297120503"/>
      <w:r/>
      <w:bookmarkStart w:id="444" w:name="_Toc296891031"/>
      <w:r/>
      <w:bookmarkStart w:id="445" w:name="_Toc296891243"/>
      <w:r/>
      <w:bookmarkStart w:id="446" w:name="_Toc303539151"/>
      <w:r>
        <w:rPr>
          <w:rFonts w:hint="eastAsia" w:ascii="仿宋" w:hAnsi="仿宋" w:eastAsia="仿宋" w:cs="仿宋"/>
          <w:color w:val="auto"/>
          <w:sz w:val="24"/>
          <w:szCs w:val="24"/>
          <w:highlight w:val="none"/>
        </w:rPr>
        <w:t xml:space="preserve">包人的合理化建议</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447" w:name="_Toc297123546"/>
      <w:r/>
      <w:bookmarkStart w:id="448" w:name="_Toc296503204"/>
      <w:r/>
      <w:bookmarkStart w:id="449" w:name="_Toc297216205"/>
      <w:r/>
      <w:bookmarkStart w:id="450" w:name="_Toc296891244"/>
      <w:r/>
      <w:bookmarkStart w:id="451" w:name="_Toc292559409"/>
      <w:r/>
      <w:bookmarkStart w:id="452" w:name="_Toc296891032"/>
      <w:r/>
      <w:bookmarkStart w:id="453" w:name="_Toc318581175"/>
      <w:r/>
      <w:bookmarkStart w:id="454" w:name="_Toc303539152"/>
      <w:r/>
      <w:bookmarkStart w:id="455" w:name="_Toc296346705"/>
      <w:r/>
      <w:bookmarkStart w:id="456" w:name="_Toc312677504"/>
      <w:r/>
      <w:bookmarkStart w:id="457" w:name="_Toc297120504"/>
      <w:r/>
      <w:bookmarkStart w:id="458" w:name="_Toc296347203"/>
      <w:r/>
      <w:bookmarkStart w:id="459" w:name="_Toc312678030"/>
      <w:r/>
      <w:bookmarkStart w:id="460" w:name="_Toc300934995"/>
      <w:r/>
      <w:bookmarkStart w:id="461" w:name="_Toc296944543"/>
      <w:r/>
      <w:bookmarkStart w:id="462" w:name="_Toc297048390"/>
      <w:r/>
      <w:bookmarkStart w:id="463" w:name="_Toc292559914"/>
      <w:r/>
      <w:bookmarkStart w:id="464" w:name="_Toc304295571"/>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465" w:name="_Toc312678033"/>
      <w:r/>
      <w:bookmarkStart w:id="466" w:name="_Toc297120499"/>
      <w:r/>
      <w:bookmarkStart w:id="467" w:name="_Toc297048385"/>
      <w:r/>
      <w:bookmarkStart w:id="468" w:name="_Toc296346700"/>
      <w:r/>
      <w:bookmarkStart w:id="469" w:name="_Toc296891027"/>
      <w:r/>
      <w:bookmarkStart w:id="470" w:name="_Toc297123548"/>
      <w:r/>
      <w:bookmarkStart w:id="471" w:name="_Toc296503199"/>
      <w:r/>
      <w:bookmarkStart w:id="472" w:name="_Toc296347198"/>
      <w:r/>
      <w:bookmarkStart w:id="473" w:name="_Toc300934997"/>
      <w:r/>
      <w:bookmarkStart w:id="474" w:name="_Toc296944538"/>
      <w:r/>
      <w:bookmarkStart w:id="475" w:name="_Toc312677507"/>
      <w:r/>
      <w:bookmarkStart w:id="476" w:name="_Toc303539154"/>
      <w:r/>
      <w:bookmarkStart w:id="477" w:name="_Toc304295574"/>
      <w:r/>
      <w:bookmarkStart w:id="478" w:name="_Toc296891239"/>
      <w:r/>
      <w:bookmarkStart w:id="479" w:name="_Toc297216207"/>
      <w:r/>
      <w:bookmarkStart w:id="480" w:name="_Toc292559909"/>
      <w:r/>
      <w:bookmarkStart w:id="481" w:name="_Toc292559404"/>
      <w:r>
        <w:rPr>
          <w:rFonts w:hint="eastAsia" w:ascii="仿宋" w:hAnsi="仿宋" w:eastAsia="仿宋" w:cs="仿宋"/>
          <w:color w:val="auto"/>
          <w:sz w:val="24"/>
          <w:szCs w:val="24"/>
          <w:highlight w:val="none"/>
        </w:rPr>
        <w:t xml:space="preserve">0.4 暂估价</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82" w:name="_Toc312677508"/>
      <w:r/>
      <w:bookmarkStart w:id="483" w:name="_Toc312678034"/>
      <w:r/>
      <w:bookmarkStart w:id="484" w:name="_Toc318581176"/>
      <w:r>
        <w:rPr>
          <w:rFonts w:hint="eastAsia" w:ascii="仿宋" w:hAnsi="仿宋" w:eastAsia="仿宋" w:cs="仿宋"/>
          <w:color w:val="auto"/>
          <w:sz w:val="24"/>
          <w:szCs w:val="24"/>
          <w:highlight w:val="none"/>
        </w:rPr>
        <w:t xml:space="preserve">估价材料和工程设备的明细详见附件11：《暂估价一览表》。</w:t>
      </w:r>
      <w:bookmarkEnd w:id="482"/>
      <w:r/>
      <w:bookmarkEnd w:id="483"/>
      <w:r/>
      <w:bookmarkEnd w:id="48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485" w:name="_Toc312678035"/>
      <w:r/>
      <w:bookmarkStart w:id="486" w:name="_Toc312677509"/>
      <w:r/>
      <w:bookmarkStart w:id="487" w:name="_Toc318581177"/>
      <w:r>
        <w:rPr>
          <w:rFonts w:hint="eastAsia" w:ascii="仿宋" w:hAnsi="仿宋" w:eastAsia="仿宋" w:cs="仿宋"/>
          <w:color w:val="auto"/>
          <w:sz w:val="24"/>
          <w:szCs w:val="24"/>
          <w:highlight w:val="none"/>
        </w:rPr>
        <w:t xml:space="preserve">0.4.1 依法必须招标的暂估价项目</w:t>
      </w:r>
      <w:bookmarkEnd w:id="485"/>
      <w:r/>
      <w:bookmarkEnd w:id="486"/>
      <w:r/>
      <w:bookmarkEnd w:id="48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10.4.2 不属于依法必须招标的暂估价项目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第3种方式：承包人直接实施的暂估价项目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b/>
          <w:color w:val="auto"/>
          <w:sz w:val="24"/>
          <w:szCs w:val="24"/>
          <w:highlight w:val="none"/>
          <w:u w:val="single"/>
        </w:rPr>
        <w:t xml:space="preserve">材料暂估价中所有材料，施工过程中由发包方负责采购，费用由工程款支付</w:t>
      </w:r>
      <w:r>
        <w:rPr>
          <w:rFonts w:hint="eastAsia" w:ascii="仿宋" w:hAnsi="仿宋" w:eastAsia="仿宋" w:cs="仿宋"/>
          <w:b/>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10.5 暂列金额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如有，暂列金额应按照发包人的要求使用，发包人的要求应通过监理人发出，承包人应对发包人发出的要求进行响应</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488" w:name="_Toc351203643"/>
      <w:r>
        <w:rPr>
          <w:rFonts w:hint="eastAsia" w:ascii="仿宋" w:hAnsi="仿宋" w:eastAsia="仿宋" w:cs="仿宋"/>
          <w:color w:val="auto"/>
          <w:sz w:val="24"/>
          <w:szCs w:val="24"/>
          <w:highlight w:val="none"/>
        </w:rPr>
        <w:t xml:space="preserve">11. 价格调整</w:t>
      </w:r>
      <w:bookmarkEnd w:id="488"/>
      <w:r/>
      <w:r/>
    </w:p>
    <w:p>
      <w:pPr>
        <w:ind w:firstLine="420"/>
        <w:spacing w:line="360" w:lineRule="auto"/>
        <w:rPr>
          <w:rFonts w:hint="eastAsia" w:ascii="仿宋" w:hAnsi="仿宋" w:eastAsia="仿宋" w:cs="仿宋"/>
          <w:color w:val="auto"/>
          <w:sz w:val="24"/>
          <w:szCs w:val="24"/>
          <w:highlight w:val="none"/>
        </w:rPr>
        <w:outlineLvl w:val="2"/>
      </w:pPr>
      <w:r/>
      <w:bookmarkStart w:id="489" w:name="_Toc292559406"/>
      <w:r/>
      <w:bookmarkStart w:id="490" w:name="_Toc297120501"/>
      <w:r/>
      <w:bookmarkStart w:id="491" w:name="_Toc296347200"/>
      <w:r/>
      <w:bookmarkStart w:id="492" w:name="_Toc300935000"/>
      <w:r/>
      <w:bookmarkStart w:id="493" w:name="_Toc296891029"/>
      <w:r/>
      <w:bookmarkStart w:id="494" w:name="_Toc297048387"/>
      <w:r/>
      <w:bookmarkStart w:id="495" w:name="_Toc297123550"/>
      <w:r/>
      <w:bookmarkStart w:id="496" w:name="_Toc296944540"/>
      <w:r/>
      <w:bookmarkStart w:id="497" w:name="_Toc304295577"/>
      <w:r/>
      <w:bookmarkStart w:id="498" w:name="_Toc296891241"/>
      <w:r/>
      <w:bookmarkStart w:id="499" w:name="_Toc296346702"/>
      <w:r/>
      <w:bookmarkStart w:id="500" w:name="_Toc312678039"/>
      <w:r/>
      <w:bookmarkStart w:id="501" w:name="_Toc292559911"/>
      <w:r/>
      <w:bookmarkStart w:id="502" w:name="_Toc297216209"/>
      <w:r/>
      <w:bookmarkStart w:id="503" w:name="_Toc296503201"/>
      <w:r/>
      <w:bookmarkStart w:id="504" w:name="_Toc303539157"/>
      <w:r>
        <w:rPr>
          <w:rFonts w:hint="eastAsia" w:ascii="仿宋" w:hAnsi="仿宋" w:eastAsia="仿宋" w:cs="仿宋"/>
          <w:color w:val="auto"/>
          <w:sz w:val="24"/>
          <w:szCs w:val="24"/>
          <w:highlight w:val="none"/>
        </w:rPr>
        <w:t xml:space="preserve">11.1 市场价格波动引起的调整</w:t>
      </w:r>
      <w:bookmarkEnd w:id="392"/>
      <w:r/>
      <w:bookmarkEnd w:id="393"/>
      <w:r/>
      <w:bookmarkEnd w:id="394"/>
      <w:r/>
      <w:bookmarkEnd w:id="395"/>
      <w:r/>
      <w:bookmarkEnd w:id="396"/>
      <w:r/>
      <w:bookmarkEnd w:id="397"/>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20"/>
        <w:spacing w:line="360" w:lineRule="auto"/>
        <w:rPr>
          <w:rFonts w:hint="eastAsia" w:ascii="仿宋" w:hAnsi="仿宋" w:eastAsia="仿宋" w:cs="仿宋"/>
          <w:color w:val="auto"/>
          <w:sz w:val="24"/>
          <w:szCs w:val="24"/>
          <w:highlight w:val="none"/>
        </w:rPr>
      </w:pPr>
      <w:r/>
      <w:bookmarkStart w:id="505" w:name="_Toc296346706"/>
      <w:r/>
      <w:bookmarkStart w:id="506" w:name="_Toc296347204"/>
      <w:r/>
      <w:bookmarkStart w:id="507" w:name="_Toc292559410"/>
      <w:r/>
      <w:bookmarkStart w:id="508" w:name="_Toc296891245"/>
      <w:r/>
      <w:bookmarkStart w:id="509" w:name="_Toc297048391"/>
      <w:r/>
      <w:bookmarkStart w:id="510" w:name="_Toc296503205"/>
      <w:r/>
      <w:bookmarkStart w:id="511" w:name="_Toc296891033"/>
      <w:r/>
      <w:bookmarkStart w:id="512" w:name="_Toc292559915"/>
      <w:r/>
      <w:bookmarkStart w:id="513" w:name="_Toc297120505"/>
      <w:r/>
      <w:bookmarkStart w:id="514" w:name="_Toc296944544"/>
      <w:r/>
      <w:bookmarkStart w:id="515" w:name="_Toc312678040"/>
      <w:r/>
      <w:bookmarkStart w:id="516" w:name="_Toc300935002"/>
      <w:r/>
      <w:bookmarkStart w:id="517" w:name="_Toc297216211"/>
      <w:r/>
      <w:bookmarkStart w:id="518" w:name="_Toc297123552"/>
      <w:r/>
      <w:bookmarkStart w:id="519" w:name="_Toc303539159"/>
      <w:r/>
      <w:bookmarkStart w:id="520" w:name="_Toc304295579"/>
      <w:r/>
      <w:bookmarkStart w:id="521" w:name="_Toc351203644"/>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除约定的调整范围外，其他材料、设备、机械费用等市场价格变化在投标综合单价里已考虑，不做调整，除不可抗力以外的其他风险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种方式对合同价格进行调整：</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第1种方式：采用价格指数进行价格调整。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第2种方式：采用造价信息进行价格调整。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关于基准价格的约定：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%时，或材料单价跌幅以已标价工程量清单或预算书中载明材料单价为基础超过%时，其超过部分据实调整。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20"/>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color w:val="auto"/>
          <w:sz w:val="24"/>
          <w:szCs w:val="24"/>
          <w:highlight w:val="none"/>
        </w:rPr>
        <w:t xml:space="preserve">第3种方式：其他价格调整方式：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根据苏建价〔2008〕67号《关于加强建筑材料价格风险控制的指导意见》规定：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材料加权平均指导价按下列公式计算：施工期材料加权平均指导价=Σ（每月实际使用量×当月材料指导价）/同类材料总用量。3、因发包人原因造成工期延误的，延误期间发生的材料价格上涨差额由发包人承担；因承包人原因造成工期延误的，延误期间发生的材料价格上涨差额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4、本工程的措施项目（模板、脚手架、文明施工措施费除外）实行一次性包干费用，过程中发生的变更、签证费将不计取措施费，仅计取规费及税金。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5、承包人在施工过程中发生的变更、签证，应严格按发包人的变更、签证管理流程进行申报，其人工、机械、管理费、利润均按照投标时优惠率和费率。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6、人工费调整执行本项目工程量清单的规定同比例调整</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505"/>
      <w:r/>
      <w:bookmarkEnd w:id="506"/>
      <w:r/>
      <w:bookmarkEnd w:id="507"/>
      <w:r/>
      <w:bookmarkEnd w:id="508"/>
      <w:r/>
      <w:bookmarkEnd w:id="509"/>
      <w:r/>
      <w:bookmarkEnd w:id="510"/>
      <w:r/>
      <w:bookmarkEnd w:id="511"/>
      <w:r/>
      <w:bookmarkEnd w:id="512"/>
      <w:r/>
      <w:bookmarkEnd w:id="513"/>
      <w:r/>
      <w:bookmarkEnd w:id="514"/>
      <w:r>
        <w:rPr>
          <w:rFonts w:hint="eastAsia" w:ascii="仿宋" w:hAnsi="仿宋" w:eastAsia="仿宋" w:cs="仿宋"/>
          <w:color w:val="auto"/>
          <w:sz w:val="24"/>
          <w:szCs w:val="24"/>
          <w:highlight w:val="none"/>
        </w:rPr>
        <w:t xml:space="preserve">合同价格、计量与支付</w:t>
      </w:r>
      <w:bookmarkEnd w:id="515"/>
      <w:r/>
      <w:bookmarkEnd w:id="516"/>
      <w:r/>
      <w:bookmarkEnd w:id="517"/>
      <w:r/>
      <w:bookmarkEnd w:id="518"/>
      <w:r/>
      <w:bookmarkEnd w:id="519"/>
      <w:r/>
      <w:bookmarkEnd w:id="520"/>
      <w:r/>
      <w:bookmarkEnd w:id="521"/>
      <w:r/>
      <w:r/>
    </w:p>
    <w:p>
      <w:pPr>
        <w:ind w:firstLine="420"/>
        <w:spacing w:line="360" w:lineRule="auto"/>
        <w:rPr>
          <w:rFonts w:hint="eastAsia" w:ascii="仿宋" w:hAnsi="仿宋" w:eastAsia="仿宋" w:cs="仿宋"/>
          <w:color w:val="auto"/>
          <w:sz w:val="24"/>
          <w:szCs w:val="24"/>
          <w:highlight w:val="none"/>
        </w:rPr>
        <w:outlineLvl w:val="2"/>
      </w:pPr>
      <w:r/>
      <w:bookmarkStart w:id="522" w:name="_Toc292559916"/>
      <w:r/>
      <w:bookmarkStart w:id="523" w:name="_Toc267251461"/>
      <w:r/>
      <w:bookmarkStart w:id="524" w:name="_Toc292559411"/>
      <w:r/>
      <w:bookmarkStart w:id="525" w:name="_Toc296346707"/>
      <w:r/>
      <w:bookmarkStart w:id="526" w:name="_Toc296944545"/>
      <w:r/>
      <w:bookmarkStart w:id="527" w:name="_Toc296503206"/>
      <w:r/>
      <w:bookmarkStart w:id="528" w:name="_Toc297120506"/>
      <w:r/>
      <w:bookmarkStart w:id="529" w:name="_Toc296347205"/>
      <w:r/>
      <w:bookmarkStart w:id="530" w:name="_Toc296891246"/>
      <w:r/>
      <w:bookmarkStart w:id="531" w:name="_Toc296891034"/>
      <w:r/>
      <w:bookmarkStart w:id="532" w:name="_Toc297048392"/>
      <w:r/>
      <w:bookmarkStart w:id="533" w:name="_Toc300935003"/>
      <w:r/>
      <w:bookmarkStart w:id="534" w:name="_Toc297216212"/>
      <w:r/>
      <w:bookmarkStart w:id="535" w:name="_Toc297123553"/>
      <w:r/>
      <w:bookmarkStart w:id="536" w:name="_Toc312678041"/>
      <w:r/>
      <w:bookmarkStart w:id="537" w:name="_Toc303539160"/>
      <w:r/>
      <w:bookmarkStart w:id="538" w:name="_Toc304295580"/>
      <w:r>
        <w:rPr>
          <w:rFonts w:hint="eastAsia" w:ascii="仿宋" w:hAnsi="仿宋" w:eastAsia="仿宋" w:cs="仿宋"/>
          <w:color w:val="auto"/>
          <w:sz w:val="24"/>
          <w:szCs w:val="24"/>
          <w:highlight w:val="none"/>
        </w:rPr>
        <w:t xml:space="preserve">12.1 合</w:t>
      </w:r>
      <w:bookmarkEnd w:id="522"/>
      <w:r/>
      <w:bookmarkEnd w:id="523"/>
      <w:r/>
      <w:bookmarkEnd w:id="524"/>
      <w:r>
        <w:rPr>
          <w:rFonts w:hint="eastAsia" w:ascii="仿宋" w:hAnsi="仿宋" w:eastAsia="仿宋" w:cs="仿宋"/>
          <w:color w:val="auto"/>
          <w:sz w:val="24"/>
          <w:szCs w:val="24"/>
          <w:highlight w:val="none"/>
        </w:rPr>
        <w:t xml:space="preserve">同价</w:t>
      </w:r>
      <w:bookmarkEnd w:id="525"/>
      <w:r/>
      <w:bookmarkEnd w:id="526"/>
      <w:r/>
      <w:bookmarkEnd w:id="527"/>
      <w:r/>
      <w:bookmarkEnd w:id="528"/>
      <w:r/>
      <w:bookmarkEnd w:id="529"/>
      <w:r/>
      <w:bookmarkEnd w:id="530"/>
      <w:r/>
      <w:bookmarkEnd w:id="531"/>
      <w:r/>
      <w:bookmarkEnd w:id="532"/>
      <w:r>
        <w:rPr>
          <w:rFonts w:hint="eastAsia" w:ascii="仿宋" w:hAnsi="仿宋" w:eastAsia="仿宋" w:cs="仿宋"/>
          <w:color w:val="auto"/>
          <w:sz w:val="24"/>
          <w:szCs w:val="24"/>
          <w:highlight w:val="none"/>
        </w:rPr>
        <w:t xml:space="preserve">格形式</w:t>
      </w:r>
      <w:bookmarkEnd w:id="533"/>
      <w:r/>
      <w:bookmarkEnd w:id="534"/>
      <w:r/>
      <w:bookmarkEnd w:id="535"/>
      <w:r/>
      <w:bookmarkEnd w:id="536"/>
      <w:r/>
      <w:bookmarkEnd w:id="537"/>
      <w:r/>
      <w:bookmarkEnd w:id="538"/>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1、单价合同。</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（1）一周内非承包人原因停水、停电造成累计停工在八小时以内的风险；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（3）作为一个有经验的承包人可以或应该预见的，为完成整体工程内容所必须考虑的风险；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（4）双方约定的不可抗力范围的风险；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（5）投标报价时所报的一次性包干的固定费用的风险；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（6）招标文件中的暂定价以及原图纸或招标清单中未实施项的项目结算中予以扣除的风险；</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u w:val="single"/>
        </w:rPr>
        <w:t xml:space="preserve">（7）工程量误差或错误造成的工程造价调整的风险；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此合同的风险费用已包含在合同价款中，不再另行计取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仿宋" w:hAnsi="仿宋" w:eastAsia="仿宋" w:cs="仿宋"/>
          <w:color w:val="auto"/>
          <w:sz w:val="24"/>
          <w:szCs w:val="24"/>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2、总价合同。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bookmarkStart w:id="539" w:name="_Toc312678042"/>
      <w:r/>
      <w:bookmarkStart w:id="540" w:name="_Toc297123554"/>
      <w:r/>
      <w:bookmarkStart w:id="541" w:name="_Toc297216213"/>
      <w:r/>
      <w:bookmarkStart w:id="542" w:name="_Toc303539161"/>
      <w:r/>
      <w:bookmarkStart w:id="543" w:name="_Toc304295581"/>
      <w:r/>
      <w:bookmarkStart w:id="544" w:name="_Toc300935004"/>
      <w:r/>
      <w:bookmarkStart w:id="545" w:name="_Toc297048393"/>
      <w:r/>
      <w:bookmarkStart w:id="546" w:name="_Toc296891247"/>
      <w:r/>
      <w:bookmarkStart w:id="547" w:name="_Toc296347206"/>
      <w:r/>
      <w:bookmarkStart w:id="548" w:name="_Toc296944546"/>
      <w:r/>
      <w:bookmarkStart w:id="549" w:name="_Toc297120507"/>
      <w:r/>
      <w:bookmarkStart w:id="550" w:name="_Toc292559412"/>
      <w:r/>
      <w:bookmarkStart w:id="551" w:name="_Toc292559917"/>
      <w:r/>
      <w:bookmarkStart w:id="552" w:name="_Toc296891035"/>
      <w:r/>
      <w:bookmarkStart w:id="553" w:name="_Toc296346708"/>
      <w:r/>
      <w:bookmarkStart w:id="554" w:name="_Toc296503207"/>
      <w:r>
        <w:rPr>
          <w:rFonts w:hint="eastAsia" w:ascii="仿宋" w:hAnsi="仿宋" w:eastAsia="仿宋" w:cs="仿宋"/>
          <w:color w:val="auto"/>
          <w:sz w:val="24"/>
          <w:szCs w:val="24"/>
          <w:highlight w:val="none"/>
        </w:rPr>
        <w:t xml:space="preserve">12.2 预付款</w:t>
      </w:r>
      <w:bookmarkEnd w:id="539"/>
      <w:r/>
      <w:bookmarkEnd w:id="540"/>
      <w:r/>
      <w:bookmarkEnd w:id="541"/>
      <w:r/>
      <w:bookmarkEnd w:id="542"/>
      <w:r/>
      <w:bookmarkEnd w:id="543"/>
      <w:r/>
      <w:bookmarkEnd w:id="54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12.2.1 预付款的支付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12.2.2 预付款担保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12.3 计量</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12.3.1 计量原则</w:t>
      </w:r>
      <w:r/>
    </w:p>
    <w:p>
      <w:pPr>
        <w:ind w:firstLine="42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仿宋" w:hAnsi="仿宋" w:eastAsia="仿宋" w:cs="仿宋"/>
          <w:color w:val="auto"/>
          <w:sz w:val="24"/>
          <w:szCs w:val="24"/>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12.3.2 计量周期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根据工程进度节点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12.3.3 单价合同的计量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12.3.4 总价合同的计量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 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12.3.6 其他价格形式合同的计量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12.4 工程进度款支付</w:t>
      </w:r>
      <w:r/>
    </w:p>
    <w:p>
      <w:pPr>
        <w:ind w:firstLine="420"/>
        <w:spacing w:line="360" w:lineRule="auto"/>
        <w:rPr>
          <w:rFonts w:hint="eastAsia" w:ascii="仿宋" w:hAnsi="仿宋" w:eastAsia="仿宋" w:cs="仿宋"/>
          <w:color w:val="auto"/>
          <w:sz w:val="24"/>
          <w:szCs w:val="24"/>
          <w:highlight w:val="none"/>
        </w:rPr>
        <w:outlineLvl w:val="3"/>
      </w:pPr>
      <w:r/>
      <w:bookmarkStart w:id="555" w:name="_Toc296944550"/>
      <w:r/>
      <w:bookmarkStart w:id="556" w:name="_Toc297120511"/>
      <w:r/>
      <w:bookmarkStart w:id="557" w:name="_Toc297216215"/>
      <w:r/>
      <w:bookmarkStart w:id="558" w:name="_Toc300935006"/>
      <w:r/>
      <w:bookmarkStart w:id="559" w:name="_Toc296503211"/>
      <w:r/>
      <w:bookmarkStart w:id="560" w:name="_Toc297048397"/>
      <w:r/>
      <w:bookmarkStart w:id="561" w:name="_Toc303539163"/>
      <w:r/>
      <w:bookmarkStart w:id="562" w:name="_Toc296346712"/>
      <w:r/>
      <w:bookmarkStart w:id="563" w:name="_Toc292559921"/>
      <w:r/>
      <w:bookmarkStart w:id="564" w:name="_Toc296347210"/>
      <w:r/>
      <w:bookmarkStart w:id="565" w:name="_Toc292559416"/>
      <w:r/>
      <w:bookmarkStart w:id="566" w:name="_Toc297123556"/>
      <w:r/>
      <w:bookmarkStart w:id="567" w:name="_Toc296891039"/>
      <w:r/>
      <w:bookmarkStart w:id="568" w:name="_Toc296891251"/>
      <w:r>
        <w:rPr>
          <w:rFonts w:hint="eastAsia" w:ascii="仿宋" w:hAnsi="仿宋" w:eastAsia="仿宋" w:cs="仿宋"/>
          <w:color w:val="auto"/>
          <w:sz w:val="24"/>
          <w:szCs w:val="24"/>
          <w:highlight w:val="none"/>
        </w:rPr>
        <w:t xml:space="preserve">12.4.1 付款周期</w:t>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关于付款周期的约定：</w:t>
      </w:r>
      <w:r>
        <w:rPr>
          <w:rFonts w:hint="eastAsia" w:ascii="仿宋" w:hAnsi="仿宋" w:eastAsia="仿宋" w:cs="仿宋"/>
          <w:color w:val="auto"/>
          <w:sz w:val="24"/>
          <w:szCs w:val="24"/>
          <w:highlight w:val="yellow"/>
        </w:rPr>
        <w:t xml:space="preserve">具体支付的方式和时间：工程进度款按月计量，定期支付，验收合格付合同总价80%，审计结束付97%，养护期1年，期满后付清余款。</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12.4.2 形象进度付款申请单的编制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关于形象进度付款申请单编制的约定：</w:t>
      </w:r>
      <w:r>
        <w:rPr>
          <w:rFonts w:hint="eastAsia" w:ascii="仿宋" w:hAnsi="仿宋" w:eastAsia="仿宋" w:cs="仿宋"/>
          <w:color w:val="auto"/>
          <w:sz w:val="24"/>
          <w:szCs w:val="24"/>
          <w:highlight w:val="none"/>
          <w:u w:val="single"/>
        </w:rPr>
        <w:t xml:space="preserve">执行通用条款，并由承包人提交，经发包人和监理单位确认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仿宋" w:hAnsi="仿宋" w:eastAsia="仿宋" w:cs="仿宋"/>
          <w:color w:val="auto"/>
          <w:sz w:val="24"/>
          <w:szCs w:val="24"/>
          <w:highlight w:val="none"/>
        </w:rPr>
        <w:t xml:space="preserve">2.4.3 形象进度付款申请单的提交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（1）单价合同形象进度付款申请单提交的约定：</w:t>
      </w:r>
      <w:r>
        <w:rPr>
          <w:rFonts w:hint="eastAsia" w:ascii="仿宋" w:hAnsi="仿宋" w:eastAsia="仿宋" w:cs="仿宋"/>
          <w:color w:val="auto"/>
          <w:sz w:val="24"/>
          <w:szCs w:val="24"/>
          <w:highlight w:val="none"/>
          <w:u w:val="single"/>
        </w:rPr>
        <w:t xml:space="preserve">达到相应付款节点后由承包人14日内提交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（2）总价合同形象进度付款申请单提交的约定：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（3）其他价格形式形象合同进度付款申请单提交的约定：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12.4.4 形象进度款审核和支付</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收到承包人形象进度付款申请表以及相关资料后14天内完成审查并报送发包人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发包人完成审批并签发形象进度款支付证书的期限：</w:t>
      </w:r>
      <w:r>
        <w:rPr>
          <w:rFonts w:hint="eastAsia" w:ascii="仿宋" w:hAnsi="仿宋" w:eastAsia="仿宋" w:cs="仿宋"/>
          <w:color w:val="auto"/>
          <w:sz w:val="24"/>
          <w:szCs w:val="24"/>
          <w:highlight w:val="none"/>
          <w:u w:val="single"/>
        </w:rPr>
        <w:t xml:space="preserve">收到进度付款申请表以及相关资料后14天内完成审批并签发进度款支付证书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（2）发包人支付形象进度款的期限：</w:t>
      </w:r>
      <w:r>
        <w:rPr>
          <w:rFonts w:hint="eastAsia" w:ascii="仿宋" w:hAnsi="仿宋" w:eastAsia="仿宋" w:cs="仿宋"/>
          <w:color w:val="auto"/>
          <w:sz w:val="24"/>
          <w:szCs w:val="24"/>
          <w:highlight w:val="none"/>
          <w:u w:val="single"/>
        </w:rPr>
        <w:t xml:space="preserve">  签发形象进度款支付证书或临时形象进度款支付证书后28天内完成支付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发包人逾期支形象付进度款的违约金的计算方式：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12.4.6 支付分解表的编制</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1、总价合同支付分解表的编制与审批：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2、单价合同的总价项目支付分解表的编制与审批：</w:t>
      </w:r>
      <w:r>
        <w:rPr>
          <w:rFonts w:hint="eastAsia" w:ascii="仿宋" w:hAnsi="仿宋" w:eastAsia="仿宋" w:cs="仿宋"/>
          <w:color w:val="auto"/>
          <w:sz w:val="24"/>
          <w:szCs w:val="24"/>
          <w:highlight w:val="none"/>
          <w:u w:val="single"/>
        </w:rPr>
        <w:t xml:space="preserve">由承包人根据施工进度计划节点以及合同对应付款基数进行分解，形成支付分解表  </w:t>
      </w:r>
      <w:r>
        <w:rPr>
          <w:rFonts w:hint="eastAsia" w:ascii="仿宋" w:hAnsi="仿宋" w:eastAsia="仿宋" w:cs="仿宋"/>
          <w:color w:val="auto"/>
          <w:sz w:val="24"/>
          <w:szCs w:val="24"/>
          <w:highlight w:val="none"/>
        </w:rPr>
        <w:t xml:space="preserve">。</w:t>
      </w:r>
      <w:bookmarkEnd w:id="398"/>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569" w:name="_Toc296503219"/>
      <w:r/>
      <w:bookmarkStart w:id="570" w:name="_Toc296891047"/>
      <w:r/>
      <w:bookmarkStart w:id="571" w:name="_Toc297048405"/>
      <w:r/>
      <w:bookmarkStart w:id="572" w:name="_Toc296346720"/>
      <w:r/>
      <w:bookmarkStart w:id="573" w:name="_Toc297123564"/>
      <w:r/>
      <w:bookmarkStart w:id="574" w:name="_Toc304295593"/>
      <w:r/>
      <w:bookmarkStart w:id="575" w:name="_Toc297120519"/>
      <w:r/>
      <w:bookmarkStart w:id="576" w:name="_Toc312678053"/>
      <w:r/>
      <w:bookmarkStart w:id="577" w:name="_Toc292559929"/>
      <w:r/>
      <w:bookmarkStart w:id="578" w:name="_Toc351203645"/>
      <w:r/>
      <w:bookmarkStart w:id="579" w:name="_Toc296944558"/>
      <w:r/>
      <w:bookmarkStart w:id="580" w:name="_Toc303539172"/>
      <w:r/>
      <w:bookmarkStart w:id="581" w:name="_Toc296347218"/>
      <w:r/>
      <w:bookmarkStart w:id="582" w:name="_Toc297216223"/>
      <w:r/>
      <w:bookmarkStart w:id="583" w:name="_Toc292559424"/>
      <w:r/>
      <w:bookmarkStart w:id="584" w:name="_Toc296891259"/>
      <w:r/>
      <w:bookmarkStart w:id="585" w:name="_Toc300935015"/>
      <w:r>
        <w:rPr>
          <w:rFonts w:hint="eastAsia" w:ascii="仿宋" w:hAnsi="仿宋" w:eastAsia="仿宋" w:cs="仿宋"/>
          <w:color w:val="auto"/>
          <w:sz w:val="24"/>
          <w:szCs w:val="24"/>
          <w:highlight w:val="none"/>
        </w:rPr>
        <w:t xml:space="preserve">13. 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13.1 分部分项工程验收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 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firstLine="420"/>
        <w:spacing w:line="360" w:lineRule="auto"/>
        <w:rPr>
          <w:rFonts w:hint="eastAsia" w:ascii="仿宋" w:hAnsi="仿宋" w:eastAsia="仿宋" w:cs="仿宋"/>
          <w:color w:val="auto"/>
          <w:sz w:val="24"/>
          <w:szCs w:val="24"/>
          <w:highlight w:val="none"/>
        </w:rPr>
        <w:outlineLvl w:val="2"/>
      </w:pPr>
      <w:r/>
      <w:bookmarkStart w:id="586" w:name="_Toc304295596"/>
      <w:r/>
      <w:bookmarkStart w:id="587" w:name="_Toc296503223"/>
      <w:r/>
      <w:bookmarkStart w:id="588" w:name="_Toc296944562"/>
      <w:r/>
      <w:bookmarkStart w:id="589" w:name="_Toc292559428"/>
      <w:r/>
      <w:bookmarkStart w:id="590" w:name="_Toc312678056"/>
      <w:r/>
      <w:bookmarkStart w:id="591" w:name="_Toc300935016"/>
      <w:r/>
      <w:bookmarkStart w:id="592" w:name="_Toc296347222"/>
      <w:r/>
      <w:bookmarkStart w:id="593" w:name="_Toc297048409"/>
      <w:r/>
      <w:bookmarkStart w:id="594" w:name="_Toc292559933"/>
      <w:r/>
      <w:bookmarkStart w:id="595" w:name="_Toc297123565"/>
      <w:r/>
      <w:bookmarkStart w:id="596" w:name="_Toc297216224"/>
      <w:r/>
      <w:bookmarkStart w:id="597" w:name="_Toc296891051"/>
      <w:r/>
      <w:bookmarkStart w:id="598" w:name="_Toc296891263"/>
      <w:r/>
      <w:bookmarkStart w:id="599" w:name="_Toc296346724"/>
      <w:r/>
      <w:bookmarkStart w:id="600" w:name="_Toc303539173"/>
      <w:r/>
      <w:bookmarkStart w:id="601" w:name="_Toc297120523"/>
      <w:r/>
      <w:bookmarkStart w:id="602" w:name="_Toc267251470"/>
      <w:r/>
      <w:bookmarkStart w:id="603" w:name="_Toc267251476"/>
      <w:r/>
      <w:bookmarkStart w:id="604" w:name="_Toc267251475"/>
      <w:r/>
      <w:bookmarkStart w:id="605" w:name="_Toc267251473"/>
      <w:r/>
      <w:bookmarkStart w:id="606" w:name="_Toc267251471"/>
      <w:r/>
      <w:bookmarkStart w:id="607" w:name="_Toc267251472"/>
      <w:r/>
      <w:bookmarkStart w:id="608" w:name="_Toc267251474"/>
      <w:r>
        <w:rPr>
          <w:rFonts w:hint="eastAsia" w:ascii="仿宋" w:hAnsi="仿宋" w:eastAsia="仿宋" w:cs="仿宋"/>
          <w:color w:val="auto"/>
          <w:sz w:val="24"/>
          <w:szCs w:val="24"/>
          <w:highlight w:val="none"/>
        </w:rPr>
        <w:t xml:space="preserve">13.2 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firstLine="420"/>
        <w:spacing w:line="360" w:lineRule="auto"/>
        <w:rPr>
          <w:rFonts w:hint="eastAsia" w:ascii="仿宋" w:hAnsi="仿宋" w:eastAsia="仿宋" w:cs="仿宋"/>
          <w:color w:val="auto"/>
          <w:sz w:val="24"/>
          <w:szCs w:val="24"/>
          <w:highlight w:val="none"/>
        </w:rPr>
        <w:outlineLvl w:val="3"/>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hint="eastAsia" w:ascii="仿宋" w:hAnsi="仿宋" w:eastAsia="仿宋" w:cs="仿宋"/>
          <w:color w:val="auto"/>
          <w:sz w:val="24"/>
          <w:szCs w:val="24"/>
          <w:highlight w:val="none"/>
        </w:rPr>
        <w:t xml:space="preserve">13.2.1 竣工验收程序</w:t>
      </w:r>
      <w:bookmarkEnd w:id="60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6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13.2.2 移交、接收全部与部分工程</w:t>
      </w:r>
      <w:bookmarkEnd w:id="611"/>
      <w:r/>
      <w:bookmarkEnd w:id="61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13.3 工程试车</w:t>
      </w:r>
      <w:bookmarkEnd w:id="613"/>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13.3.1 试车程序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（1）单机无负荷试车费用由承担；</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（2）无负荷联动试车费用由承担。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13.3.2 投料试车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13.4 竣工退场</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13.6.1 竣工退场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竣工验收合格后14日内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5" w:name="_Toc351203646"/>
      <w:r>
        <w:rPr>
          <w:rFonts w:hint="eastAsia" w:ascii="仿宋" w:hAnsi="仿宋" w:eastAsia="仿宋" w:cs="仿宋"/>
          <w:color w:val="auto"/>
          <w:sz w:val="24"/>
          <w:szCs w:val="24"/>
          <w:highlight w:val="none"/>
        </w:rPr>
        <w:t xml:space="preserve">14. 竣工结算</w:t>
      </w:r>
      <w:bookmarkEnd w:id="61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14.1 竣工结算申请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工程竣工验收合格后一个月内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元+核减额的5%计算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14.2 竣工结算审核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收到承包人提交的最终结清申请后28天内完成审批并向承包人颁发最终结清证书</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  签发竣工付款证书后28天内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审减率约定：</w:t>
      </w:r>
      <w:r>
        <w:rPr>
          <w:rFonts w:hint="eastAsia" w:ascii="仿宋" w:hAnsi="仿宋" w:eastAsia="仿宋" w:cs="仿宋"/>
          <w:color w:val="auto"/>
          <w:sz w:val="24"/>
          <w:szCs w:val="24"/>
          <w:highlight w:val="none"/>
          <w:u w:val="single"/>
        </w:rPr>
        <w:t xml:space="preserve">审计报告结（决）算审减率10%-15%的，承包人按审减金额的20%支付违约金，超过15%的，按照审减金额的30%支付违约金，发包人有权从工程款中直接扣除。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项目终审费用约定：</w:t>
      </w:r>
      <w:r>
        <w:rPr>
          <w:rFonts w:hint="eastAsia" w:ascii="仿宋" w:hAnsi="仿宋" w:eastAsia="仿宋" w:cs="仿宋"/>
          <w:color w:val="auto"/>
          <w:sz w:val="24"/>
          <w:szCs w:val="24"/>
          <w:highlight w:val="none"/>
          <w:u w:val="single"/>
        </w:rPr>
        <w:t xml:space="preserve">工程结（决）算经市审计中心终审后，审减率在3%（含3%）以内的，审计服务费用由发包人支付，3%-5%（含5%）发包人和承包人各付一半，5%以上的承包人全额支付。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14.3 最终结清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14.3.1 最终结清申请单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4份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14.3.2 最终结清证书和支付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收到承包人提交的最终结清申请后28天内完成审批并向承包人颁发最终结清证书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签发最终结清证书后的28天内 </w:t>
      </w:r>
      <w:r>
        <w:rPr>
          <w:rFonts w:hint="eastAsia" w:ascii="仿宋" w:hAnsi="仿宋" w:eastAsia="仿宋" w:cs="仿宋"/>
          <w:color w:val="auto"/>
          <w:sz w:val="24"/>
          <w:szCs w:val="24"/>
          <w:highlight w:val="none"/>
        </w:rPr>
        <w:t xml:space="preserve">。</w:t>
      </w:r>
      <w:bookmarkEnd w:id="602"/>
      <w:r/>
      <w:bookmarkEnd w:id="603"/>
      <w:r/>
      <w:bookmarkEnd w:id="604"/>
      <w:r/>
      <w:bookmarkEnd w:id="605"/>
      <w:r/>
      <w:bookmarkEnd w:id="606"/>
      <w:r/>
      <w:bookmarkEnd w:id="607"/>
      <w:r/>
      <w:bookmarkEnd w:id="608"/>
      <w:r/>
      <w:bookmarkEnd w:id="61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6" w:name="_Toc351203647"/>
      <w:r/>
      <w:bookmarkStart w:id="617" w:name="_Toc267251483"/>
      <w:r/>
      <w:bookmarkStart w:id="618" w:name="_Toc267251484"/>
      <w:r/>
      <w:bookmarkStart w:id="619" w:name="_Toc267251482"/>
      <w:r/>
      <w:bookmarkStart w:id="620" w:name="_Toc267251485"/>
      <w:r/>
      <w:bookmarkStart w:id="621" w:name="_Toc267251490"/>
      <w:r/>
      <w:bookmarkStart w:id="622" w:name="_Toc267251489"/>
      <w:r/>
      <w:bookmarkStart w:id="623" w:name="_Toc267251486"/>
      <w:r/>
      <w:bookmarkStart w:id="624" w:name="_Toc267251488"/>
      <w:r/>
      <w:bookmarkStart w:id="625" w:name="_Toc267251491"/>
      <w:r/>
      <w:bookmarkStart w:id="626" w:name="_Toc267251497"/>
      <w:r/>
      <w:bookmarkStart w:id="627" w:name="_Toc267251502"/>
      <w:r/>
      <w:bookmarkStart w:id="628" w:name="_Toc267251503"/>
      <w:r/>
      <w:bookmarkStart w:id="629" w:name="_Toc267251493"/>
      <w:r/>
      <w:bookmarkStart w:id="630" w:name="_Toc267251494"/>
      <w:r/>
      <w:bookmarkStart w:id="631" w:name="_Toc267251498"/>
      <w:r/>
      <w:bookmarkStart w:id="632" w:name="_Toc267251495"/>
      <w:r/>
      <w:bookmarkStart w:id="633" w:name="_Toc267251496"/>
      <w:r/>
      <w:bookmarkStart w:id="634" w:name="_Toc267251499"/>
      <w:r/>
      <w:bookmarkStart w:id="635" w:name="_Toc267251501"/>
      <w:r/>
      <w:bookmarkStart w:id="636" w:name="_Toc267251492"/>
      <w:r/>
      <w:bookmarkStart w:id="637" w:name="_Toc267251506"/>
      <w:r/>
      <w:bookmarkStart w:id="638" w:name="_Toc267251504"/>
      <w:r/>
      <w:bookmarkStart w:id="639" w:name="_Toc267251507"/>
      <w:r/>
      <w:bookmarkStart w:id="640" w:name="_Toc267251508"/>
      <w:r/>
      <w:bookmarkStart w:id="641" w:name="_Toc267251509"/>
      <w:r/>
      <w:bookmarkStart w:id="642" w:name="_Toc267251513"/>
      <w:r/>
      <w:bookmarkStart w:id="643" w:name="_Toc267251515"/>
      <w:r/>
      <w:bookmarkStart w:id="644" w:name="_Toc267251510"/>
      <w:r/>
      <w:bookmarkStart w:id="645" w:name="_Toc267251514"/>
      <w:r/>
      <w:bookmarkStart w:id="646" w:name="_Toc267251511"/>
      <w:r>
        <w:rPr>
          <w:rFonts w:hint="eastAsia" w:ascii="仿宋" w:hAnsi="仿宋" w:eastAsia="仿宋" w:cs="仿宋"/>
          <w:color w:val="auto"/>
          <w:sz w:val="24"/>
          <w:szCs w:val="24"/>
          <w:highlight w:val="none"/>
        </w:rPr>
        <w:t xml:space="preserve">15. 缺陷责任期与保修</w:t>
      </w:r>
      <w:bookmarkEnd w:id="61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15.1 缺陷责任期</w:t>
      </w:r>
      <w:bookmarkEnd w:id="61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15.2 质量保证金</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618"/>
      <w:r/>
      <w:bookmarkEnd w:id="61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15.3 保修</w:t>
      </w:r>
      <w:bookmarkEnd w:id="62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15.3.1 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 地基基础工程、主体结构工程终身，防水5年，其它</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15.3.2 修复通知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承包人收到保修通知后24小时内到达工程现场</w:t>
      </w:r>
      <w:r>
        <w:rPr>
          <w:rFonts w:hint="eastAsia" w:ascii="仿宋" w:hAnsi="仿宋" w:eastAsia="仿宋" w:cs="仿宋"/>
          <w:color w:val="auto"/>
          <w:sz w:val="24"/>
          <w:szCs w:val="24"/>
          <w:highlight w:val="none"/>
        </w:rPr>
        <w:t xml:space="preserve">。</w:t>
      </w:r>
      <w:bookmarkEnd w:id="621"/>
      <w:r/>
      <w:bookmarkEnd w:id="622"/>
      <w:r/>
      <w:bookmarkEnd w:id="623"/>
      <w:r/>
      <w:bookmarkEnd w:id="62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7" w:name="_Toc351203648"/>
      <w:r/>
      <w:bookmarkStart w:id="648" w:name="_Toc280868717"/>
      <w:r/>
      <w:bookmarkStart w:id="649" w:name="_Toc280868718"/>
      <w:r>
        <w:rPr>
          <w:rFonts w:hint="eastAsia" w:ascii="仿宋" w:hAnsi="仿宋" w:eastAsia="仿宋" w:cs="仿宋"/>
          <w:color w:val="auto"/>
          <w:sz w:val="24"/>
          <w:szCs w:val="24"/>
          <w:highlight w:val="none"/>
        </w:rPr>
        <w:t xml:space="preserve">16. 违约</w:t>
      </w:r>
      <w:bookmarkEnd w:id="647"/>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16.1 发包人违约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16.1.1 发包人违约的情形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    16.1.2 发包人违约的责任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16.1.3 因发包人违约解除合同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 承包人违约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16.2.1 承包人违约的情形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1、承包人应当按照合同中确定的开工日期开工，承包人承诺每逾期一天，按照合同总价款的万分之二计算，向发包人给付违约金。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2、承包人承诺有下列情形之一者，发包人有权要求承包人承担违约责任，赔偿发包人损失，并可以要求解除或终止本合同的一部分或全部：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超过合同中确定的或发包人要求开工日期达十天（含十天）以上的；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承包人有转移资产、抽逃资金、工人及设备数据不足及其它丧失履约能力之情形；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承包人违反本合同任何条款规定，经发包人限期改正而未改正；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承包人工作草率、偷工减料、消极怠工或不听从发包人指示，屡教不改；</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360" w:lineRule="auto"/>
        <w:rPr>
          <w:rFonts w:hint="eastAsia" w:ascii="仿宋" w:hAnsi="仿宋" w:eastAsia="仿宋" w:cs="仿宋"/>
          <w:color w:val="auto"/>
          <w:sz w:val="24"/>
          <w:szCs w:val="24"/>
          <w:highlight w:val="none"/>
          <w:u w:val="single"/>
        </w:rPr>
        <w:outlineLvl w:val="4"/>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承包人其他违约行为，影响合同目的实现的。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16.2.2 承包人违约的责任</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1、发包人有权要求解除合同，并由承包人承担由此引起的一切损失，并负责由此引起的一切法律责任，并赔偿由此引起的发包人的一切经济损失。</w:t>
      </w:r>
      <w:r/>
    </w:p>
    <w:p>
      <w:pPr>
        <w:ind w:firstLine="420"/>
        <w:spacing w:line="360" w:lineRule="auto"/>
        <w:rPr>
          <w:rFonts w:hint="eastAsia" w:ascii="仿宋" w:hAnsi="仿宋" w:eastAsia="仿宋" w:cs="仿宋"/>
          <w:color w:val="auto"/>
          <w:sz w:val="24"/>
          <w:szCs w:val="24"/>
          <w:highlight w:val="none"/>
          <w:u w:val="single"/>
        </w:rPr>
        <w:outlineLvl w:val="1"/>
      </w:pPr>
      <w:r>
        <w:rPr>
          <w:rFonts w:hint="eastAsia" w:ascii="仿宋" w:hAnsi="仿宋" w:eastAsia="仿宋" w:cs="仿宋"/>
          <w:color w:val="auto"/>
          <w:sz w:val="24"/>
          <w:szCs w:val="24"/>
          <w:highlight w:val="none"/>
          <w:u w:val="single"/>
        </w:rPr>
        <w:t xml:space="preserve">2、工期每延期一天，罚款合同总价的5‰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3、承包人确保达到投标时承诺的质量标准，否则赔偿合同总价的2%。</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16.2.3 因承包人违约解除合同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工期延误达10天以上，发包人有权解除合同，合同的解除不免除承包人按照本条款的约定承担工期延误违约责任。如果承包人借故拖延工程进度、导致工程停工超过15日，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0" w:name="_Toc351203649"/>
      <w:r>
        <w:rPr>
          <w:rFonts w:hint="eastAsia" w:ascii="仿宋" w:hAnsi="仿宋" w:eastAsia="仿宋" w:cs="仿宋"/>
          <w:color w:val="auto"/>
          <w:sz w:val="24"/>
          <w:szCs w:val="24"/>
          <w:highlight w:val="none"/>
        </w:rPr>
        <w:t xml:space="preserve">17. 不可抗力</w:t>
      </w:r>
      <w:bookmarkEnd w:id="648"/>
      <w:r/>
      <w:bookmarkEnd w:id="65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17.1 不可抗力的确认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17.4 因不可抗力解除合同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1" w:name="_Toc351203650"/>
      <w:r>
        <w:rPr>
          <w:rFonts w:hint="eastAsia" w:ascii="仿宋" w:hAnsi="仿宋" w:eastAsia="仿宋" w:cs="仿宋"/>
          <w:color w:val="auto"/>
          <w:sz w:val="24"/>
          <w:szCs w:val="24"/>
          <w:highlight w:val="none"/>
        </w:rPr>
        <w:t xml:space="preserve">18. 保险</w:t>
      </w:r>
      <w:bookmarkEnd w:id="649"/>
      <w:r/>
      <w:bookmarkEnd w:id="65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18.1 工程保险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承包人应按照国家强制性规定和自身需要，以承包人或承包人和发包人共同名义投保有关险种，所需费用包含在投标报价中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18.3 其他保险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18.4 通知义务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2" w:name="_Toc351203651"/>
      <w:r>
        <w:rPr>
          <w:rFonts w:hint="eastAsia" w:ascii="仿宋" w:hAnsi="仿宋" w:eastAsia="仿宋" w:cs="仿宋"/>
          <w:color w:val="auto"/>
          <w:sz w:val="24"/>
          <w:szCs w:val="24"/>
          <w:highlight w:val="none"/>
        </w:rPr>
        <w:t xml:space="preserve">19. 争议解决</w:t>
      </w:r>
      <w:bookmarkEnd w:id="637"/>
      <w:r/>
      <w:bookmarkEnd w:id="638"/>
      <w:r/>
      <w:bookmarkEnd w:id="6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19.1 争</w:t>
      </w:r>
      <w:bookmarkEnd w:id="639"/>
      <w:r>
        <w:rPr>
          <w:rFonts w:hint="eastAsia" w:ascii="仿宋" w:hAnsi="仿宋" w:eastAsia="仿宋" w:cs="仿宋"/>
          <w:color w:val="auto"/>
          <w:sz w:val="24"/>
          <w:szCs w:val="24"/>
          <w:highlight w:val="none"/>
        </w:rPr>
        <w:t xml:space="preserve">议评审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19.1.1 争议评审小组的确定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不提交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19.1.2 争议评审小组的决定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19.2 仲裁或诉讼</w:t>
      </w:r>
      <w:bookmarkEnd w:id="6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新沂市  </w:t>
      </w:r>
      <w:r>
        <w:rPr>
          <w:rFonts w:hint="eastAsia" w:ascii="仿宋" w:hAnsi="仿宋" w:eastAsia="仿宋" w:cs="仿宋"/>
          <w:color w:val="auto"/>
          <w:sz w:val="24"/>
          <w:szCs w:val="24"/>
          <w:highlight w:val="none"/>
        </w:rPr>
        <w:t xml:space="preserve">人民法院起诉。</w:t>
      </w:r>
      <w:bookmarkEnd w:id="641"/>
      <w:r/>
      <w:bookmarkEnd w:id="642"/>
      <w:r/>
      <w:bookmarkEnd w:id="643"/>
      <w:r/>
      <w:bookmarkEnd w:id="644"/>
      <w:r/>
      <w:bookmarkEnd w:id="645"/>
      <w:r/>
      <w:bookmarkEnd w:id="646"/>
      <w:r/>
      <w:bookmarkStart w:id="653" w:name="_Toc358569763"/>
      <w:r/>
      <w:r/>
    </w:p>
    <w:p>
      <w:pPr>
        <w:pStyle w:val="1012"/>
        <w:keepLines w:val="0"/>
        <w:keepNext w:val="0"/>
        <w:spacing w:before="0" w:after="0" w:line="360" w:lineRule="auto"/>
        <w:widowControl/>
        <w:rPr>
          <w:rFonts w:hint="eastAsia" w:ascii="仿宋" w:hAnsi="仿宋" w:eastAsia="仿宋" w:cs="仿宋"/>
          <w:color w:val="auto"/>
          <w:sz w:val="24"/>
          <w:szCs w:val="24"/>
          <w:highlight w:val="none"/>
        </w:rPr>
        <w:outlineLvl w:val="9"/>
      </w:pPr>
      <w:r/>
      <w:bookmarkStart w:id="654" w:name="_Toc2511"/>
      <w:r/>
      <w:bookmarkStart w:id="655" w:name="_Toc25273"/>
      <w:r/>
      <w:r/>
    </w:p>
    <w:p>
      <w:pPr>
        <w:pStyle w:val="697"/>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3"/>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3"/>
        <w:rPr>
          <w:rFonts w:hint="eastAsia" w:ascii="仿宋" w:hAnsi="仿宋" w:eastAsia="仿宋" w:cs="仿宋"/>
          <w:highlight w:val="none"/>
        </w:rPr>
        <w:outlineLvl w:val="9"/>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012"/>
        <w:keepLines w:val="0"/>
        <w:keepNext w:val="0"/>
        <w:spacing w:before="0" w:after="0" w:line="360" w:lineRule="auto"/>
        <w:widowControl/>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专用合同条件附件</w:t>
      </w:r>
      <w:bookmarkEnd w:id="654"/>
      <w:r/>
      <w:bookmarkEnd w:id="655"/>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附件2：主要建设工程文件目录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附件3：承包人主要管理人员表</w:t>
      </w:r>
      <w:r/>
    </w:p>
    <w:p>
      <w:pPr>
        <w:pStyle w:val="1014"/>
        <w:rPr>
          <w:rFonts w:hint="eastAsia" w:ascii="仿宋" w:hAnsi="仿宋" w:eastAsia="仿宋" w:cs="仿宋"/>
          <w:color w:val="auto"/>
          <w:sz w:val="24"/>
          <w:szCs w:val="24"/>
          <w:highlight w:val="none"/>
        </w:rPr>
        <w:outlineLvl w:val="9"/>
      </w:pPr>
      <w:r/>
      <w:bookmarkStart w:id="656" w:name="_Toc32488"/>
      <w:r/>
      <w:bookmarkStart w:id="657" w:name="_Toc20171895"/>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附件1  工程质量保修书</w:t>
      </w:r>
      <w:bookmarkEnd w:id="656"/>
      <w:r/>
      <w:bookmarkEnd w:id="657"/>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新沂市住房和城乡建设局</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发包人和承包人根据《中华人民共和国建筑法》和《建设工程质量管理条例》，经协商一致就（工程全称）订立工程质量保修书。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一、工程质量保修范围和内容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二、质量保修期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个采暖期、供冷期；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7．其他项目保修期限约定如下：。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三、缺陷责任期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四、质量保修责任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4．质量保修完成后，由发包人组织验收。</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五、保修费用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rPr>
        <w:t xml:space="preserve">六、双方约定的其他工程质量保修事项：。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工程质量保修书由发包人、承包人在工程竣工验收前共同签署，作为工程总承包合同附件，其有效期限至保修期满。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1"/>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邮政编码：</w:t>
      </w:r>
      <w:r/>
    </w:p>
    <w:p>
      <w:pPr>
        <w:pStyle w:val="1014"/>
        <w:rPr>
          <w:rFonts w:hint="eastAsia" w:ascii="仿宋" w:hAnsi="仿宋" w:eastAsia="仿宋" w:cs="仿宋"/>
          <w:color w:val="auto"/>
          <w:sz w:val="24"/>
          <w:szCs w:val="24"/>
          <w:highlight w:val="none"/>
        </w:rPr>
        <w:outlineLvl w:val="9"/>
      </w:pPr>
      <w:r/>
      <w:bookmarkStart w:id="658" w:name="_Toc20171896"/>
      <w:r/>
      <w:bookmarkStart w:id="659" w:name="_Toc9101"/>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4"/>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4"/>
        <w:rPr>
          <w:rFonts w:hint="eastAsia" w:ascii="仿宋" w:hAnsi="仿宋" w:eastAsia="仿宋" w:cs="仿宋"/>
          <w:color w:val="auto"/>
          <w:sz w:val="24"/>
          <w:szCs w:val="24"/>
          <w:highlight w:val="none"/>
        </w:rPr>
        <w:outlineLvl w:val="0"/>
      </w:pPr>
      <w:r/>
      <w:bookmarkStart w:id="660" w:name="_Toc7898"/>
      <w:r/>
      <w:bookmarkStart w:id="661" w:name="_Toc16795"/>
      <w:r>
        <w:rPr>
          <w:rFonts w:hint="eastAsia" w:ascii="仿宋" w:hAnsi="仿宋" w:eastAsia="仿宋" w:cs="仿宋"/>
          <w:color w:val="auto"/>
          <w:sz w:val="24"/>
          <w:szCs w:val="24"/>
          <w:highlight w:val="none"/>
        </w:rPr>
        <w:t xml:space="preserve">附件2  主要建设工程文件目录</w:t>
      </w:r>
      <w:bookmarkEnd w:id="658"/>
      <w:r/>
      <w:bookmarkEnd w:id="659"/>
      <w:r/>
      <w:bookmarkEnd w:id="660"/>
      <w:r/>
      <w:bookmarkEnd w:id="661"/>
      <w:r/>
      <w:r/>
    </w:p>
    <w:tbl>
      <w:tblPr>
        <w:tblStyle w:val="687"/>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bookmarkStart w:id="662" w:name="_Toc20171897"/>
      <w:r/>
      <w:bookmarkStart w:id="663" w:name="_Toc16062"/>
      <w:r/>
      <w:r/>
    </w:p>
    <w:p>
      <w:pPr>
        <w:pStyle w:val="1014"/>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14"/>
        <w:rPr>
          <w:rFonts w:hint="eastAsia" w:ascii="仿宋" w:hAnsi="仿宋" w:eastAsia="仿宋" w:cs="仿宋"/>
          <w:highlight w:val="none"/>
        </w:rPr>
        <w:outlineLvl w:val="0"/>
      </w:pPr>
      <w:r/>
      <w:bookmarkStart w:id="664" w:name="_Toc27181"/>
      <w:r/>
      <w:bookmarkStart w:id="665" w:name="_Toc21360"/>
      <w:r>
        <w:rPr>
          <w:rFonts w:hint="eastAsia" w:ascii="仿宋" w:hAnsi="仿宋" w:eastAsia="仿宋" w:cs="仿宋"/>
          <w:color w:val="auto"/>
          <w:sz w:val="24"/>
          <w:szCs w:val="24"/>
          <w:highlight w:val="none"/>
        </w:rPr>
        <w:t xml:space="preserve">附件3 承包人主要管理人员表</w:t>
      </w:r>
      <w:bookmarkEnd w:id="662"/>
      <w:r/>
      <w:bookmarkEnd w:id="663"/>
      <w:r/>
      <w:bookmarkEnd w:id="664"/>
      <w:r/>
      <w:bookmarkEnd w:id="665"/>
      <w:r/>
      <w:r/>
    </w:p>
    <w:tbl>
      <w:tblPr>
        <w:tblStyle w:val="687"/>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工程总承包</w:t>
            </w:r>
            <w:r/>
          </w:p>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653"/>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69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32"/>
        <w:ind w:left="0" w:firstLine="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rPr>
      <w:rFonts w:hint="default" w:ascii="Calibri" w:hAnsi="Calibri" w:eastAsia="宋体" w:cs="Times New Roman"/>
      <w:lang w:val="en-US" w:eastAsia="zh-CN" w:bidi="ar-SA"/>
    </w:rPr>
  </w:style>
  <w:style w:type="paragraph" w:styleId="677">
    <w:name w:val="Heading 1"/>
    <w:basedOn w:val="676"/>
    <w:next w:val="676"/>
    <w:uiPriority w:val="0"/>
    <w:qFormat/>
    <w:pPr>
      <w:keepLines/>
      <w:keepNext/>
      <w:spacing w:before="480" w:after="200"/>
      <w:outlineLvl w:val="0"/>
    </w:pPr>
    <w:rPr>
      <w:rFonts w:ascii="Arial" w:hAnsi="Arial" w:eastAsia="Arial" w:cs="Arial"/>
      <w:sz w:val="40"/>
      <w:szCs w:val="40"/>
    </w:rPr>
  </w:style>
  <w:style w:type="paragraph" w:styleId="678">
    <w:name w:val="Heading 2"/>
    <w:basedOn w:val="676"/>
    <w:next w:val="688"/>
    <w:uiPriority w:val="0"/>
    <w:qFormat/>
    <w:pPr>
      <w:keepLines/>
      <w:keepNext/>
      <w:spacing w:before="360" w:after="200"/>
      <w:outlineLvl w:val="1"/>
    </w:pPr>
    <w:rPr>
      <w:rFonts w:ascii="Arial" w:hAnsi="Arial" w:eastAsia="Arial" w:cs="Arial"/>
      <w:sz w:val="34"/>
    </w:rPr>
  </w:style>
  <w:style w:type="paragraph" w:styleId="679">
    <w:name w:val="Heading 3"/>
    <w:basedOn w:val="676"/>
    <w:next w:val="676"/>
    <w:uiPriority w:val="0"/>
    <w:qFormat/>
    <w:pPr>
      <w:keepLines/>
      <w:keepNext/>
      <w:spacing w:before="320" w:after="200"/>
      <w:outlineLvl w:val="2"/>
    </w:pPr>
    <w:rPr>
      <w:rFonts w:ascii="Arial" w:hAnsi="Arial" w:eastAsia="Arial" w:cs="Arial"/>
      <w:sz w:val="30"/>
      <w:szCs w:val="30"/>
      <w:lang w:val="en-US" w:eastAsia="zh-CN" w:bidi="ar-SA"/>
    </w:rPr>
  </w:style>
  <w:style w:type="paragraph" w:styleId="680">
    <w:name w:val="Heading 4"/>
    <w:basedOn w:val="676"/>
    <w:next w:val="676"/>
    <w:uiPriority w:val="0"/>
    <w:qFormat/>
    <w:pPr>
      <w:keepLines/>
      <w:keepNext/>
      <w:spacing w:before="320" w:after="200"/>
      <w:outlineLvl w:val="3"/>
    </w:pPr>
    <w:rPr>
      <w:rFonts w:ascii="Arial" w:hAnsi="Arial" w:eastAsia="Arial" w:cs="Arial"/>
      <w:b/>
      <w:bCs/>
      <w:sz w:val="26"/>
      <w:szCs w:val="26"/>
    </w:rPr>
  </w:style>
  <w:style w:type="paragraph" w:styleId="681">
    <w:name w:val="Heading 5"/>
    <w:next w:val="676"/>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682">
    <w:name w:val="Heading 6"/>
    <w:next w:val="676"/>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683">
    <w:name w:val="Heading 7"/>
    <w:next w:val="676"/>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84">
    <w:name w:val="Heading 8"/>
    <w:next w:val="676"/>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685">
    <w:name w:val="Heading 9"/>
    <w:next w:val="676"/>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Normal Indent"/>
    <w:basedOn w:val="676"/>
    <w:next w:val="689"/>
    <w:uiPriority w:val="99"/>
    <w:unhideWhenUsed/>
    <w:qFormat/>
    <w:pPr>
      <w:ind w:firstLine="420"/>
    </w:pPr>
  </w:style>
  <w:style w:type="paragraph" w:styleId="689">
    <w:name w:val="Body Text Indent"/>
    <w:basedOn w:val="676"/>
    <w:next w:val="690"/>
    <w:uiPriority w:val="0"/>
    <w:qFormat/>
    <w:pPr>
      <w:ind w:firstLine="567"/>
      <w:spacing w:line="500" w:lineRule="exact"/>
      <w:tabs>
        <w:tab w:val="left" w:pos="0" w:leader="none"/>
        <w:tab w:val="left" w:pos="993" w:leader="none"/>
        <w:tab w:val="left" w:pos="1134" w:leader="none"/>
      </w:tabs>
    </w:pPr>
    <w:rPr>
      <w:rFonts w:ascii="宋体"/>
    </w:rPr>
  </w:style>
  <w:style w:type="paragraph" w:styleId="690">
    <w:name w:val="envelope return"/>
    <w:basedOn w:val="676"/>
    <w:uiPriority w:val="99"/>
    <w:unhideWhenUsed/>
    <w:qFormat/>
    <w:rPr>
      <w:rFonts w:ascii="Arial" w:hAnsi="Arial"/>
    </w:rPr>
  </w:style>
  <w:style w:type="paragraph" w:styleId="691">
    <w:name w:val="toc 7"/>
    <w:next w:val="676"/>
    <w:uiPriority w:val="0"/>
    <w:qFormat/>
    <w:pPr>
      <w:ind w:left="1701"/>
      <w:spacing w:after="57"/>
    </w:pPr>
    <w:rPr>
      <w:rFonts w:hint="default" w:ascii="Calibri" w:hAnsi="Calibri" w:eastAsia="宋体" w:cs="Times New Roman"/>
      <w:lang w:val="en-US" w:eastAsia="zh-CN" w:bidi="ar-SA"/>
    </w:rPr>
  </w:style>
  <w:style w:type="paragraph" w:styleId="692">
    <w:name w:val="Caption"/>
    <w:next w:val="676"/>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693">
    <w:name w:val="annotation text"/>
    <w:basedOn w:val="676"/>
    <w:uiPriority w:val="0"/>
    <w:qFormat/>
    <w:pPr>
      <w:jc w:val="left"/>
    </w:pPr>
  </w:style>
  <w:style w:type="paragraph" w:styleId="694">
    <w:name w:val="Body Text"/>
    <w:basedOn w:val="676"/>
    <w:next w:val="695"/>
    <w:uiPriority w:val="0"/>
    <w:qFormat/>
    <w:pPr>
      <w:spacing w:after="120"/>
    </w:pPr>
    <w:rPr>
      <w:rFonts w:ascii="Times New Roman" w:hAnsi="Times New Roman"/>
    </w:rPr>
  </w:style>
  <w:style w:type="paragraph" w:styleId="695">
    <w:name w:val="Body Text First Indent"/>
    <w:basedOn w:val="694"/>
    <w:next w:val="696"/>
    <w:uiPriority w:val="0"/>
    <w:qFormat/>
    <w:pPr>
      <w:ind w:firstLine="200"/>
      <w:spacing w:line="360" w:lineRule="auto"/>
    </w:pPr>
    <w:rPr>
      <w:rFonts w:ascii="仿宋_GB2312" w:eastAsia="仿宋_GB2312"/>
      <w:sz w:val="30"/>
      <w:szCs w:val="30"/>
    </w:rPr>
  </w:style>
  <w:style w:type="paragraph" w:styleId="696">
    <w:name w:val="toc 6"/>
    <w:basedOn w:val="676"/>
    <w:next w:val="676"/>
    <w:uiPriority w:val="0"/>
    <w:qFormat/>
    <w:pPr>
      <w:ind w:left="1417"/>
      <w:spacing w:after="57"/>
    </w:pPr>
    <w:rPr>
      <w:rFonts w:hint="default" w:ascii="Calibri" w:hAnsi="Calibri" w:eastAsia="宋体" w:cs="Times New Roman"/>
      <w:lang w:val="en-US" w:eastAsia="zh-CN" w:bidi="ar-SA"/>
    </w:rPr>
  </w:style>
  <w:style w:type="paragraph" w:styleId="697">
    <w:name w:val="Block Text"/>
    <w:basedOn w:val="676"/>
    <w:next w:val="676"/>
    <w:uiPriority w:val="0"/>
    <w:qFormat/>
    <w:pPr>
      <w:ind w:left="256" w:right="6" w:firstLine="624"/>
    </w:pPr>
    <w:rPr>
      <w:rFonts w:ascii="Times New Roman" w:hAnsi="Times New Roman" w:eastAsia="仿宋_GB2312"/>
      <w:sz w:val="28"/>
    </w:rPr>
  </w:style>
  <w:style w:type="paragraph" w:styleId="698">
    <w:name w:val="toc 5"/>
    <w:next w:val="676"/>
    <w:uiPriority w:val="0"/>
    <w:qFormat/>
    <w:pPr>
      <w:ind w:left="1134"/>
      <w:spacing w:after="57"/>
    </w:pPr>
    <w:rPr>
      <w:rFonts w:hint="default" w:ascii="Calibri" w:hAnsi="Calibri" w:eastAsia="宋体" w:cs="Times New Roman"/>
      <w:lang w:val="en-US" w:eastAsia="zh-CN" w:bidi="ar-SA"/>
    </w:rPr>
  </w:style>
  <w:style w:type="paragraph" w:styleId="699">
    <w:name w:val="toc 3"/>
    <w:next w:val="676"/>
    <w:uiPriority w:val="0"/>
    <w:qFormat/>
    <w:pPr>
      <w:ind w:left="567"/>
      <w:spacing w:after="57"/>
    </w:pPr>
    <w:rPr>
      <w:rFonts w:hint="default" w:ascii="Calibri" w:hAnsi="Calibri" w:eastAsia="宋体" w:cs="Times New Roman"/>
      <w:lang w:val="en-US" w:eastAsia="zh-CN" w:bidi="ar-SA"/>
    </w:rPr>
  </w:style>
  <w:style w:type="paragraph" w:styleId="700">
    <w:name w:val="Plain Text"/>
    <w:basedOn w:val="676"/>
    <w:uiPriority w:val="0"/>
    <w:qFormat/>
    <w:rPr>
      <w:rFonts w:ascii="宋体"/>
    </w:rPr>
  </w:style>
  <w:style w:type="paragraph" w:styleId="701">
    <w:name w:val="toc 8"/>
    <w:next w:val="676"/>
    <w:uiPriority w:val="0"/>
    <w:qFormat/>
    <w:pPr>
      <w:ind w:left="1984"/>
      <w:spacing w:after="57"/>
    </w:pPr>
    <w:rPr>
      <w:rFonts w:hint="default" w:ascii="Calibri" w:hAnsi="Calibri" w:eastAsia="宋体" w:cs="Times New Roman"/>
      <w:lang w:val="en-US" w:eastAsia="zh-CN" w:bidi="ar-SA"/>
    </w:rPr>
  </w:style>
  <w:style w:type="paragraph" w:styleId="702">
    <w:name w:val="endnote text"/>
    <w:uiPriority w:val="0"/>
    <w:qFormat/>
    <w:rPr>
      <w:rFonts w:hint="default" w:ascii="Calibri" w:hAnsi="Calibri" w:eastAsia="宋体" w:cs="Times New Roman"/>
      <w:lang w:val="en-US" w:eastAsia="zh-CN" w:bidi="ar-SA"/>
    </w:rPr>
  </w:style>
  <w:style w:type="paragraph" w:styleId="703">
    <w:name w:val="Footer"/>
    <w:basedOn w:val="676"/>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04">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05">
    <w:name w:val="toc 1"/>
    <w:next w:val="676"/>
    <w:uiPriority w:val="0"/>
    <w:qFormat/>
    <w:pPr>
      <w:spacing w:after="57"/>
    </w:pPr>
    <w:rPr>
      <w:rFonts w:hint="default" w:ascii="Calibri" w:hAnsi="Calibri" w:eastAsia="宋体" w:cs="Times New Roman"/>
      <w:lang w:val="en-US" w:eastAsia="zh-CN" w:bidi="ar-SA"/>
    </w:rPr>
  </w:style>
  <w:style w:type="paragraph" w:styleId="706">
    <w:name w:val="toc 4"/>
    <w:next w:val="676"/>
    <w:uiPriority w:val="0"/>
    <w:qFormat/>
    <w:pPr>
      <w:ind w:left="850"/>
      <w:spacing w:after="57"/>
    </w:pPr>
    <w:rPr>
      <w:rFonts w:hint="default" w:ascii="Calibri" w:hAnsi="Calibri" w:eastAsia="宋体" w:cs="Times New Roman"/>
      <w:lang w:val="en-US" w:eastAsia="zh-CN" w:bidi="ar-SA"/>
    </w:rPr>
  </w:style>
  <w:style w:type="paragraph" w:styleId="707">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08">
    <w:name w:val="footnote text"/>
    <w:uiPriority w:val="0"/>
    <w:qFormat/>
    <w:pPr>
      <w:spacing w:after="40"/>
    </w:pPr>
    <w:rPr>
      <w:rFonts w:hint="default" w:ascii="Calibri" w:hAnsi="Calibri" w:eastAsia="宋体" w:cs="Times New Roman"/>
      <w:sz w:val="18"/>
      <w:lang w:val="en-US" w:eastAsia="zh-CN" w:bidi="ar-SA"/>
    </w:rPr>
  </w:style>
  <w:style w:type="paragraph" w:styleId="709">
    <w:name w:val="table of figures"/>
    <w:next w:val="676"/>
    <w:uiPriority w:val="0"/>
    <w:qFormat/>
    <w:rPr>
      <w:rFonts w:hint="default" w:ascii="Calibri" w:hAnsi="Calibri" w:eastAsia="宋体" w:cs="Times New Roman"/>
      <w:lang w:val="en-US" w:eastAsia="zh-CN" w:bidi="ar-SA"/>
    </w:rPr>
  </w:style>
  <w:style w:type="paragraph" w:styleId="710">
    <w:name w:val="toc 2"/>
    <w:next w:val="676"/>
    <w:uiPriority w:val="0"/>
    <w:qFormat/>
    <w:pPr>
      <w:ind w:left="283"/>
      <w:spacing w:after="57"/>
    </w:pPr>
    <w:rPr>
      <w:rFonts w:hint="default" w:ascii="Calibri" w:hAnsi="Calibri" w:eastAsia="宋体" w:cs="Times New Roman"/>
      <w:lang w:val="en-US" w:eastAsia="zh-CN" w:bidi="ar-SA"/>
    </w:rPr>
  </w:style>
  <w:style w:type="paragraph" w:styleId="711">
    <w:name w:val="toc 9"/>
    <w:basedOn w:val="676"/>
    <w:next w:val="676"/>
    <w:uiPriority w:val="0"/>
    <w:qFormat/>
    <w:pPr>
      <w:ind w:left="2268"/>
      <w:spacing w:after="57"/>
    </w:pPr>
    <w:rPr>
      <w:rFonts w:hint="default" w:ascii="Calibri" w:hAnsi="Calibri" w:eastAsia="宋体" w:cs="Times New Roman"/>
      <w:lang w:val="en-US" w:eastAsia="zh-CN" w:bidi="ar-SA"/>
    </w:rPr>
  </w:style>
  <w:style w:type="paragraph" w:styleId="712">
    <w:name w:val="Body Text 2"/>
    <w:basedOn w:val="676"/>
    <w:uiPriority w:val="0"/>
    <w:qFormat/>
    <w:pPr>
      <w:spacing w:after="120" w:line="480" w:lineRule="auto"/>
    </w:pPr>
  </w:style>
  <w:style w:type="paragraph" w:styleId="713">
    <w:name w:val="Normal (Web)"/>
    <w:basedOn w:val="676"/>
    <w:uiPriority w:val="0"/>
    <w:qFormat/>
    <w:pPr>
      <w:ind w:left="0" w:right="0"/>
      <w:jc w:val="left"/>
      <w:spacing w:before="0" w:beforeAutospacing="1" w:after="0" w:afterAutospacing="1"/>
    </w:pPr>
    <w:rPr>
      <w:sz w:val="24"/>
      <w:lang w:val="en-US" w:eastAsia="zh-CN" w:bidi="ar"/>
    </w:rPr>
  </w:style>
  <w:style w:type="paragraph" w:styleId="714">
    <w:name w:val="Title"/>
    <w:basedOn w:val="676"/>
    <w:next w:val="676"/>
    <w:uiPriority w:val="0"/>
    <w:qFormat/>
    <w:pPr>
      <w:contextualSpacing/>
      <w:spacing w:before="300" w:after="200"/>
    </w:pPr>
    <w:rPr>
      <w:sz w:val="48"/>
      <w:szCs w:val="48"/>
    </w:rPr>
  </w:style>
  <w:style w:type="table" w:styleId="715">
    <w:name w:val="Table Grid"/>
    <w:basedOn w:val="68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Strong"/>
    <w:basedOn w:val="686"/>
    <w:uiPriority w:val="22"/>
    <w:qFormat/>
    <w:rPr>
      <w:b/>
    </w:rPr>
  </w:style>
  <w:style w:type="character" w:styleId="717">
    <w:name w:val="endnote reference"/>
    <w:uiPriority w:val="0"/>
    <w:qFormat/>
    <w:rPr>
      <w:vertAlign w:val="superscript"/>
    </w:rPr>
  </w:style>
  <w:style w:type="character" w:styleId="718">
    <w:name w:val="page number"/>
    <w:basedOn w:val="686"/>
    <w:uiPriority w:val="0"/>
    <w:qFormat/>
  </w:style>
  <w:style w:type="character" w:styleId="719">
    <w:name w:val="Emphasis"/>
    <w:basedOn w:val="686"/>
    <w:uiPriority w:val="0"/>
    <w:qFormat/>
    <w:rPr>
      <w:color w:val="cc0033"/>
    </w:rPr>
  </w:style>
  <w:style w:type="character" w:styleId="720">
    <w:name w:val="Hyperlink"/>
    <w:uiPriority w:val="0"/>
    <w:qFormat/>
    <w:rPr>
      <w:color w:val="0000ff"/>
      <w:u w:val="single"/>
    </w:rPr>
  </w:style>
  <w:style w:type="character" w:styleId="721">
    <w:name w:val="footnote reference"/>
    <w:uiPriority w:val="0"/>
    <w:qFormat/>
    <w:rPr>
      <w:vertAlign w:val="superscript"/>
    </w:rPr>
  </w:style>
  <w:style w:type="paragraph" w:styleId="722" w:customStyle="1">
    <w:name w:val="BodyText"/>
    <w:basedOn w:val="676"/>
    <w:next w:val="676"/>
    <w:uiPriority w:val="0"/>
    <w:qFormat/>
    <w:pPr>
      <w:ind w:left="72" w:right="30"/>
      <w:jc w:val="center"/>
      <w:spacing w:after="60" w:line="360" w:lineRule="atLeast"/>
    </w:pPr>
    <w:rPr>
      <w:szCs w:val="22"/>
    </w:rPr>
  </w:style>
  <w:style w:type="paragraph" w:styleId="723" w:customStyle="1">
    <w:name w:val="一级条标题"/>
    <w:basedOn w:val="724"/>
    <w:next w:val="732"/>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24" w:customStyle="1">
    <w:name w:val="章标题"/>
    <w:basedOn w:val="725"/>
    <w:next w:val="725"/>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25" w:customStyle="1">
    <w:name w:val="正文1"/>
    <w:basedOn w:val="726"/>
    <w:next w:val="729"/>
    <w:uiPriority w:val="0"/>
    <w:qFormat/>
    <w:pPr>
      <w:ind w:firstLine="432"/>
      <w:spacing w:line="360" w:lineRule="auto"/>
      <w:tabs>
        <w:tab w:val="left" w:pos="420" w:leader="none"/>
      </w:tabs>
    </w:pPr>
    <w:rPr>
      <w:rFonts w:ascii="宋体"/>
      <w:b/>
      <w:sz w:val="24"/>
    </w:rPr>
  </w:style>
  <w:style w:type="paragraph" w:styleId="726" w:customStyle="1">
    <w:name w:val="正文111"/>
    <w:next w:val="727"/>
    <w:uiPriority w:val="0"/>
    <w:qFormat/>
    <w:rPr>
      <w:rFonts w:hint="default" w:ascii="Calibri" w:hAnsi="Calibri" w:eastAsia="宋体" w:cs="Times New Roman"/>
      <w:lang w:val="en-US" w:eastAsia="zh-CN" w:bidi="ar-SA"/>
    </w:rPr>
  </w:style>
  <w:style w:type="paragraph" w:styleId="727" w:customStyle="1">
    <w:name w:val="正文文本缩进1"/>
    <w:basedOn w:val="728"/>
    <w:next w:val="731"/>
    <w:uiPriority w:val="0"/>
    <w:qFormat/>
    <w:pPr>
      <w:ind w:left="420"/>
      <w:spacing w:after="120"/>
    </w:pPr>
    <w:rPr>
      <w:rFonts w:ascii="Times New Roman" w:hAnsi="Times New Roman"/>
    </w:rPr>
  </w:style>
  <w:style w:type="paragraph" w:styleId="728" w:customStyle="1">
    <w:name w:val="正文11"/>
    <w:next w:val="729"/>
    <w:link w:val="1004"/>
    <w:uiPriority w:val="0"/>
    <w:qFormat/>
    <w:pPr>
      <w:jc w:val="both"/>
      <w:widowControl w:val="off"/>
    </w:pPr>
    <w:rPr>
      <w:rFonts w:hint="default" w:ascii="Calibri" w:hAnsi="Calibri" w:eastAsia="宋体" w:cs="Times New Roman"/>
      <w:sz w:val="21"/>
      <w:szCs w:val="24"/>
      <w:lang w:val="en-US" w:eastAsia="zh-CN" w:bidi="ar-SA"/>
    </w:rPr>
  </w:style>
  <w:style w:type="paragraph" w:styleId="729" w:customStyle="1">
    <w:name w:val="正文文本1"/>
    <w:basedOn w:val="725"/>
    <w:next w:val="730"/>
    <w:uiPriority w:val="0"/>
    <w:qFormat/>
    <w:rPr>
      <w:rFonts w:eastAsia="黑体"/>
      <w:bCs/>
      <w:spacing w:val="20"/>
      <w:sz w:val="56"/>
    </w:rPr>
  </w:style>
  <w:style w:type="paragraph" w:styleId="730" w:customStyle="1">
    <w:name w:val="正文文本 21"/>
    <w:basedOn w:val="676"/>
    <w:uiPriority w:val="0"/>
    <w:qFormat/>
    <w:pPr>
      <w:spacing w:after="120" w:line="480" w:lineRule="auto"/>
    </w:pPr>
    <w:rPr>
      <w:rFonts w:ascii="Calibri" w:hAnsi="Calibri" w:eastAsia="宋体"/>
      <w:szCs w:val="22"/>
    </w:rPr>
  </w:style>
  <w:style w:type="paragraph" w:styleId="731" w:customStyle="1">
    <w:name w:val="寄信人地址1"/>
    <w:basedOn w:val="726"/>
    <w:uiPriority w:val="0"/>
    <w:qFormat/>
    <w:rPr>
      <w:rFonts w:ascii="Arial" w:hAnsi="Arial"/>
    </w:rPr>
  </w:style>
  <w:style w:type="paragraph" w:styleId="732" w:customStyle="1">
    <w:name w:val="段"/>
    <w:basedOn w:val="733"/>
    <w:next w:val="725"/>
    <w:uiPriority w:val="0"/>
    <w:qFormat/>
    <w:pPr>
      <w:ind w:firstLine="200"/>
      <w:widowControl/>
    </w:pPr>
    <w:rPr>
      <w:rFonts w:ascii="宋体"/>
      <w:sz w:val="20"/>
      <w:szCs w:val="20"/>
    </w:rPr>
  </w:style>
  <w:style w:type="paragraph" w:styleId="733" w:customStyle="1">
    <w:name w:val="正文112"/>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customStyle="1">
    <w:name w:val="正文文本11"/>
    <w:basedOn w:val="733"/>
    <w:next w:val="723"/>
    <w:uiPriority w:val="0"/>
    <w:qFormat/>
    <w:pPr>
      <w:spacing w:after="120"/>
    </w:pPr>
    <w:rPr>
      <w:rFonts w:ascii="Times New Roman" w:hAnsi="Times New Roman"/>
    </w:rPr>
  </w:style>
  <w:style w:type="paragraph" w:styleId="735" w:customStyle="1">
    <w:name w:val="正文首行缩进1"/>
    <w:basedOn w:val="734"/>
    <w:next w:val="736"/>
    <w:uiPriority w:val="0"/>
    <w:qFormat/>
    <w:pPr>
      <w:ind w:firstLine="100"/>
      <w:tabs>
        <w:tab w:val="left" w:pos="180" w:leader="none"/>
      </w:tabs>
    </w:pPr>
  </w:style>
  <w:style w:type="paragraph" w:styleId="736" w:customStyle="1">
    <w:name w:val="正文首行缩进 21"/>
    <w:basedOn w:val="727"/>
    <w:next w:val="726"/>
    <w:uiPriority w:val="0"/>
    <w:qFormat/>
    <w:pPr>
      <w:ind w:left="0" w:firstLine="420"/>
      <w:spacing w:after="0" w:line="360" w:lineRule="auto"/>
    </w:pPr>
    <w:rPr>
      <w:rFonts w:ascii="宋体"/>
      <w:sz w:val="20"/>
      <w:szCs w:val="20"/>
    </w:rPr>
  </w:style>
  <w:style w:type="paragraph" w:styleId="737" w:customStyle="1">
    <w:name w:val="文本块1"/>
    <w:basedOn w:val="738"/>
    <w:next w:val="676"/>
    <w:uiPriority w:val="0"/>
    <w:qFormat/>
    <w:pPr>
      <w:ind w:left="256" w:right="6" w:firstLine="624"/>
    </w:pPr>
    <w:rPr>
      <w:rFonts w:ascii="Times New Roman" w:hAnsi="Times New Roman" w:eastAsia="仿宋_GB2312"/>
      <w:sz w:val="28"/>
    </w:rPr>
  </w:style>
  <w:style w:type="paragraph" w:styleId="738" w:customStyle="1">
    <w:name w:val="正文12"/>
    <w:next w:val="7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customStyle="1">
    <w:name w:val="脚注文本1"/>
    <w:basedOn w:val="725"/>
    <w:next w:val="740"/>
    <w:uiPriority w:val="0"/>
    <w:qFormat/>
    <w:pPr>
      <w:spacing w:after="40"/>
    </w:pPr>
    <w:rPr>
      <w:rFonts w:hint="default" w:ascii="Calibri" w:hAnsi="Calibri" w:eastAsia="宋体" w:cs="Times New Roman"/>
      <w:sz w:val="18"/>
      <w:lang w:val="en-US" w:eastAsia="zh-CN" w:bidi="ar-SA"/>
    </w:rPr>
  </w:style>
  <w:style w:type="paragraph" w:styleId="740" w:customStyle="1">
    <w:name w:val="索引 51"/>
    <w:basedOn w:val="738"/>
    <w:next w:val="725"/>
    <w:uiPriority w:val="0"/>
    <w:qFormat/>
    <w:pPr>
      <w:ind w:left="798"/>
      <w:jc w:val="left"/>
    </w:pPr>
  </w:style>
  <w:style w:type="paragraph" w:styleId="741" w:customStyle="1">
    <w:name w:val="标题 21"/>
    <w:basedOn w:val="738"/>
    <w:next w:val="738"/>
    <w:link w:val="905"/>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42" w:customStyle="1">
    <w:name w:val="正文首行缩进11"/>
    <w:basedOn w:val="729"/>
    <w:next w:val="743"/>
    <w:uiPriority w:val="0"/>
    <w:qFormat/>
    <w:pPr>
      <w:ind w:firstLine="200"/>
      <w:spacing w:line="360" w:lineRule="auto"/>
    </w:pPr>
    <w:rPr>
      <w:rFonts w:ascii="仿宋_GB2312" w:eastAsia="仿宋_GB2312"/>
      <w:sz w:val="30"/>
      <w:szCs w:val="30"/>
    </w:rPr>
  </w:style>
  <w:style w:type="paragraph" w:styleId="743" w:customStyle="1">
    <w:name w:val="正文首行缩进 211"/>
    <w:basedOn w:val="744"/>
    <w:uiPriority w:val="99"/>
    <w:qFormat/>
    <w:pPr>
      <w:ind w:left="0" w:firstLine="420"/>
      <w:spacing w:after="0" w:line="360" w:lineRule="auto"/>
    </w:pPr>
    <w:rPr>
      <w:rFonts w:ascii="宋体" w:hAnsi="宋体"/>
    </w:rPr>
  </w:style>
  <w:style w:type="paragraph" w:styleId="744" w:customStyle="1">
    <w:name w:val="正文文本缩进11"/>
    <w:basedOn w:val="738"/>
    <w:next w:val="731"/>
    <w:uiPriority w:val="99"/>
    <w:unhideWhenUsed/>
    <w:qFormat/>
    <w:pPr>
      <w:ind w:firstLine="425"/>
      <w:jc w:val="both"/>
      <w:spacing w:line="360" w:lineRule="auto"/>
    </w:pPr>
    <w:rPr>
      <w:lang w:val="en-US" w:eastAsia="zh-CN"/>
    </w:rPr>
  </w:style>
  <w:style w:type="paragraph" w:styleId="745" w:customStyle="1">
    <w:name w:val="寄信人地址11"/>
    <w:basedOn w:val="676"/>
    <w:uiPriority w:val="99"/>
    <w:unhideWhenUsed/>
    <w:qFormat/>
    <w:rPr>
      <w:rFonts w:ascii="Arial" w:hAnsi="Arial"/>
    </w:rPr>
  </w:style>
  <w:style w:type="paragraph" w:styleId="746" w:customStyle="1">
    <w:name w:val="无间隔1"/>
    <w:uiPriority w:val="0"/>
    <w:qFormat/>
    <w:rPr>
      <w:rFonts w:hint="default" w:ascii="Calibri" w:hAnsi="Calibri" w:eastAsia="宋体" w:cs="Times New Roman"/>
      <w:lang w:val="en-US" w:eastAsia="zh-CN" w:bidi="ar-SA"/>
    </w:rPr>
  </w:style>
  <w:style w:type="paragraph" w:styleId="747" w:customStyle="1">
    <w:name w:val="正文缩进1"/>
    <w:basedOn w:val="733"/>
    <w:next w:val="728"/>
    <w:uiPriority w:val="0"/>
    <w:qFormat/>
    <w:pPr>
      <w:ind w:firstLine="420"/>
    </w:pPr>
  </w:style>
  <w:style w:type="paragraph" w:styleId="748" w:customStyle="1">
    <w:name w:val="正文首行缩进 22"/>
    <w:basedOn w:val="749"/>
    <w:next w:val="733"/>
    <w:uiPriority w:val="0"/>
    <w:qFormat/>
    <w:pPr>
      <w:ind w:firstLine="420"/>
    </w:pPr>
  </w:style>
  <w:style w:type="paragraph" w:styleId="749" w:customStyle="1">
    <w:name w:val="正文文本缩进2"/>
    <w:basedOn w:val="726"/>
    <w:uiPriority w:val="0"/>
    <w:qFormat/>
    <w:pPr>
      <w:ind w:left="420"/>
      <w:spacing w:after="120"/>
    </w:pPr>
  </w:style>
  <w:style w:type="character" w:styleId="750" w:customStyle="1">
    <w:name w:val="Heading 1 Char"/>
    <w:basedOn w:val="686"/>
    <w:uiPriority w:val="9"/>
    <w:qFormat/>
    <w:rPr>
      <w:rFonts w:ascii="Arial" w:hAnsi="Arial" w:eastAsia="Arial" w:cs="Arial"/>
      <w:sz w:val="40"/>
      <w:szCs w:val="40"/>
    </w:r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paragraph" w:styleId="752">
    <w:name w:val="Quote"/>
    <w:basedOn w:val="676"/>
    <w:next w:val="676"/>
    <w:uiPriority w:val="29"/>
    <w:qFormat/>
    <w:pPr>
      <w:ind w:left="720" w:right="720"/>
    </w:pPr>
    <w:rPr>
      <w:i/>
    </w:rPr>
  </w:style>
  <w:style w:type="paragraph" w:styleId="753">
    <w:name w:val="Intense Quote"/>
    <w:basedOn w:val="676"/>
    <w:next w:val="6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54"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6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basedOn w:val="6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basedOn w:val="6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basedOn w:val="6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basedOn w:val="6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basedOn w:val="6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6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6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6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6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6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6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6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basedOn w:val="6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basedOn w:val="6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basedOn w:val="6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basedOn w:val="6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basedOn w:val="6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6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6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6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6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basedOn w:val="6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basedOn w:val="6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basedOn w:val="6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basedOn w:val="6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basedOn w:val="6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样式 正文文本缩进 + 首行缩进:  2 字符 行距: 1.5 倍行距"/>
    <w:basedOn w:val="727"/>
    <w:uiPriority w:val="0"/>
    <w:qFormat/>
    <w:pPr>
      <w:ind w:firstLine="645"/>
      <w:spacing w:before="156"/>
    </w:pPr>
    <w:rPr>
      <w:rFonts w:ascii="Calibri" w:hAnsi="Calibri"/>
      <w:sz w:val="28"/>
    </w:rPr>
  </w:style>
  <w:style w:type="paragraph" w:styleId="881" w:customStyle="1">
    <w:name w:val="标题1"/>
    <w:basedOn w:val="738"/>
    <w:next w:val="882"/>
    <w:uiPriority w:val="0"/>
    <w:qFormat/>
    <w:pPr>
      <w:jc w:val="center"/>
      <w:spacing w:before="240" w:after="60"/>
      <w:outlineLvl w:val="0"/>
    </w:pPr>
    <w:rPr>
      <w:rFonts w:ascii="Cambria" w:hAnsi="Cambria"/>
      <w:b/>
      <w:bCs/>
      <w:sz w:val="32"/>
      <w:szCs w:val="32"/>
    </w:rPr>
  </w:style>
  <w:style w:type="paragraph" w:styleId="882" w:customStyle="1">
    <w:name w:val="纯文本1"/>
    <w:basedOn w:val="728"/>
    <w:uiPriority w:val="0"/>
    <w:qFormat/>
    <w:rPr>
      <w:rFonts w:ascii="宋体"/>
      <w:szCs w:val="21"/>
    </w:rPr>
  </w:style>
  <w:style w:type="paragraph" w:styleId="883" w:customStyle="1">
    <w:name w:val="标题 41"/>
    <w:basedOn w:val="738"/>
    <w:next w:val="728"/>
    <w:uiPriority w:val="0"/>
    <w:qFormat/>
    <w:pPr>
      <w:keepLines/>
      <w:keepNext/>
      <w:spacing w:before="280" w:after="290" w:line="377" w:lineRule="auto"/>
      <w:outlineLvl w:val="3"/>
    </w:pPr>
    <w:rPr>
      <w:rFonts w:ascii="Cambria" w:hAnsi="Cambria"/>
      <w:b/>
      <w:bCs/>
      <w:sz w:val="28"/>
      <w:szCs w:val="28"/>
    </w:rPr>
  </w:style>
  <w:style w:type="character" w:styleId="884" w:customStyle="1">
    <w:name w:val="正文11 Char"/>
    <w:basedOn w:val="686"/>
    <w:link w:val="728"/>
    <w:uiPriority w:val="0"/>
    <w:qFormat/>
    <w:rPr>
      <w:rFonts w:ascii="Calibri" w:hAnsi="Calibri" w:eastAsia="宋体" w:cs="Times New Roman"/>
      <w:sz w:val="21"/>
      <w:szCs w:val="24"/>
      <w:lang w:val="en-US" w:eastAsia="zh-CN" w:bidi="ar-SA"/>
    </w:rPr>
  </w:style>
  <w:style w:type="character" w:styleId="885" w:customStyle="1">
    <w:name w:val="Heading 2 Char"/>
    <w:basedOn w:val="686"/>
    <w:uiPriority w:val="0"/>
    <w:qFormat/>
    <w:rPr>
      <w:rFonts w:ascii="Arial" w:hAnsi="Arial" w:eastAsia="Arial" w:cs="Arial"/>
      <w:sz w:val="34"/>
    </w:rPr>
  </w:style>
  <w:style w:type="character" w:styleId="886" w:customStyle="1">
    <w:name w:val="Heading 3 Char"/>
    <w:basedOn w:val="686"/>
    <w:uiPriority w:val="0"/>
    <w:qFormat/>
    <w:rPr>
      <w:rFonts w:ascii="Arial" w:hAnsi="Arial" w:eastAsia="Arial" w:cs="Arial"/>
      <w:sz w:val="30"/>
      <w:szCs w:val="30"/>
    </w:rPr>
  </w:style>
  <w:style w:type="character" w:styleId="887" w:customStyle="1">
    <w:name w:val="Heading 4 Char"/>
    <w:basedOn w:val="686"/>
    <w:uiPriority w:val="0"/>
    <w:qFormat/>
    <w:rPr>
      <w:rFonts w:ascii="Arial" w:hAnsi="Arial" w:eastAsia="Arial" w:cs="Arial"/>
      <w:b/>
      <w:bCs/>
      <w:sz w:val="26"/>
      <w:szCs w:val="26"/>
    </w:rPr>
  </w:style>
  <w:style w:type="character" w:styleId="888" w:customStyle="1">
    <w:name w:val="Heading 5 Char"/>
    <w:basedOn w:val="686"/>
    <w:uiPriority w:val="0"/>
    <w:qFormat/>
    <w:rPr>
      <w:rFonts w:ascii="Arial" w:hAnsi="Arial" w:eastAsia="Arial" w:cs="Arial"/>
      <w:b/>
      <w:bCs/>
      <w:sz w:val="24"/>
      <w:szCs w:val="24"/>
    </w:rPr>
  </w:style>
  <w:style w:type="character" w:styleId="889" w:customStyle="1">
    <w:name w:val="Heading 6 Char"/>
    <w:basedOn w:val="686"/>
    <w:uiPriority w:val="0"/>
    <w:qFormat/>
    <w:rPr>
      <w:rFonts w:ascii="Arial" w:hAnsi="Arial" w:eastAsia="Arial" w:cs="Arial"/>
      <w:b/>
      <w:bCs/>
      <w:sz w:val="22"/>
      <w:szCs w:val="22"/>
    </w:rPr>
  </w:style>
  <w:style w:type="character" w:styleId="890" w:customStyle="1">
    <w:name w:val="Heading 7 Char"/>
    <w:basedOn w:val="686"/>
    <w:uiPriority w:val="0"/>
    <w:qFormat/>
    <w:rPr>
      <w:rFonts w:ascii="Arial" w:hAnsi="Arial" w:eastAsia="Arial" w:cs="Arial"/>
      <w:b/>
      <w:bCs/>
      <w:i/>
      <w:iCs/>
      <w:sz w:val="22"/>
      <w:szCs w:val="22"/>
    </w:rPr>
  </w:style>
  <w:style w:type="character" w:styleId="891" w:customStyle="1">
    <w:name w:val="Heading 8 Char"/>
    <w:basedOn w:val="686"/>
    <w:uiPriority w:val="0"/>
    <w:qFormat/>
    <w:rPr>
      <w:rFonts w:ascii="Arial" w:hAnsi="Arial" w:eastAsia="Arial" w:cs="Arial"/>
      <w:i/>
      <w:iCs/>
      <w:sz w:val="22"/>
      <w:szCs w:val="22"/>
    </w:rPr>
  </w:style>
  <w:style w:type="character" w:styleId="892" w:customStyle="1">
    <w:name w:val="Heading 9 Char"/>
    <w:basedOn w:val="686"/>
    <w:uiPriority w:val="0"/>
    <w:qFormat/>
    <w:rPr>
      <w:rFonts w:ascii="Arial" w:hAnsi="Arial" w:eastAsia="Arial" w:cs="Arial"/>
      <w:i/>
      <w:iCs/>
      <w:sz w:val="21"/>
      <w:szCs w:val="21"/>
    </w:rPr>
  </w:style>
  <w:style w:type="character" w:styleId="893" w:customStyle="1">
    <w:name w:val="Title Char"/>
    <w:basedOn w:val="686"/>
    <w:uiPriority w:val="0"/>
    <w:qFormat/>
    <w:rPr>
      <w:sz w:val="48"/>
      <w:szCs w:val="48"/>
    </w:rPr>
  </w:style>
  <w:style w:type="character" w:styleId="894" w:customStyle="1">
    <w:name w:val="Subtitle Char"/>
    <w:basedOn w:val="686"/>
    <w:uiPriority w:val="0"/>
    <w:qFormat/>
    <w:rPr>
      <w:sz w:val="24"/>
      <w:szCs w:val="24"/>
    </w:rPr>
  </w:style>
  <w:style w:type="character" w:styleId="895" w:customStyle="1">
    <w:name w:val="Quote Char"/>
    <w:uiPriority w:val="0"/>
    <w:qFormat/>
    <w:rPr>
      <w:i/>
    </w:rPr>
  </w:style>
  <w:style w:type="character" w:styleId="896" w:customStyle="1">
    <w:name w:val="Intense Quote Char"/>
    <w:uiPriority w:val="0"/>
    <w:qFormat/>
    <w:rPr>
      <w:i/>
    </w:rPr>
  </w:style>
  <w:style w:type="character" w:styleId="897" w:customStyle="1">
    <w:name w:val="Header Char"/>
    <w:basedOn w:val="686"/>
    <w:uiPriority w:val="0"/>
    <w:qFormat/>
  </w:style>
  <w:style w:type="character" w:styleId="898" w:customStyle="1">
    <w:name w:val="Caption Char"/>
    <w:uiPriority w:val="0"/>
    <w:qFormat/>
  </w:style>
  <w:style w:type="character" w:styleId="899" w:customStyle="1">
    <w:name w:val="Footnote Text Char"/>
    <w:uiPriority w:val="0"/>
    <w:qFormat/>
    <w:rPr>
      <w:sz w:val="18"/>
    </w:rPr>
  </w:style>
  <w:style w:type="character" w:styleId="900" w:customStyle="1">
    <w:name w:val="Endnote Text Char"/>
    <w:uiPriority w:val="0"/>
    <w:qFormat/>
    <w:rPr>
      <w:sz w:val="20"/>
    </w:rPr>
  </w:style>
  <w:style w:type="paragraph" w:styleId="901" w:customStyle="1">
    <w:name w:val="TOC 标题1"/>
    <w:uiPriority w:val="0"/>
    <w:qFormat/>
    <w:rPr>
      <w:rFonts w:hint="default" w:ascii="Times New Roman" w:hAnsi="Times New Roman" w:eastAsia="宋体" w:cs="Times New Roman"/>
      <w:lang w:val="en-US" w:eastAsia="zh-CN" w:bidi="ar-SA"/>
    </w:rPr>
  </w:style>
  <w:style w:type="paragraph" w:styleId="902" w:customStyle="1">
    <w:name w:val="列出段落1"/>
    <w:next w:val="676"/>
    <w:uiPriority w:val="0"/>
    <w:qFormat/>
    <w:pPr>
      <w:contextualSpacing/>
      <w:ind w:left="720"/>
    </w:pPr>
    <w:rPr>
      <w:rFonts w:hint="default" w:ascii="Calibri" w:hAnsi="Calibri" w:eastAsia="宋体" w:cs="Times New Roman"/>
      <w:lang w:val="en-US" w:eastAsia="zh-CN" w:bidi="ar-SA"/>
    </w:rPr>
  </w:style>
  <w:style w:type="paragraph" w:styleId="903" w:customStyle="1">
    <w:name w:val="引用1"/>
    <w:uiPriority w:val="0"/>
    <w:qFormat/>
    <w:pPr>
      <w:ind w:left="720" w:right="720"/>
    </w:pPr>
    <w:rPr>
      <w:rFonts w:hint="default" w:ascii="Calibri" w:hAnsi="Calibri" w:eastAsia="宋体" w:cs="Times New Roman"/>
      <w:i/>
      <w:lang w:val="en-US" w:eastAsia="zh-CN" w:bidi="ar-SA"/>
    </w:rPr>
  </w:style>
  <w:style w:type="paragraph" w:styleId="904"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05" w:customStyle="1">
    <w:name w:val="标题 21 Char"/>
    <w:basedOn w:val="884"/>
    <w:link w:val="741"/>
    <w:uiPriority w:val="0"/>
    <w:qFormat/>
    <w:rPr>
      <w:rFonts w:ascii="Cambria" w:hAnsi="Cambria" w:eastAsia="宋体" w:cs="Times New Roman"/>
      <w:b/>
      <w:bCs/>
      <w:sz w:val="28"/>
      <w:szCs w:val="32"/>
      <w:lang w:val="en-US" w:eastAsia="zh-CN" w:bidi="ar-SA"/>
    </w:rPr>
  </w:style>
  <w:style w:type="paragraph" w:styleId="906" w:customStyle="1">
    <w:name w:val="正文122"/>
    <w:next w:val="907"/>
    <w:uiPriority w:val="0"/>
    <w:qFormat/>
    <w:rPr>
      <w:rFonts w:hint="default" w:ascii="Times New Roman" w:hAnsi="Times New Roman" w:eastAsia="宋体" w:cs="Times New Roman"/>
      <w:lang w:val="en-US" w:eastAsia="zh-CN" w:bidi="ar-SA"/>
    </w:rPr>
  </w:style>
  <w:style w:type="paragraph" w:styleId="907" w:customStyle="1">
    <w:name w:val="目录 21"/>
    <w:basedOn w:val="726"/>
    <w:next w:val="906"/>
    <w:uiPriority w:val="0"/>
    <w:qFormat/>
    <w:pPr>
      <w:ind w:left="283"/>
      <w:spacing w:after="57"/>
    </w:pPr>
    <w:rPr>
      <w:rFonts w:ascii="Times New Roman" w:hAnsi="Times New Roman"/>
    </w:rPr>
  </w:style>
  <w:style w:type="paragraph" w:styleId="908" w:customStyle="1">
    <w:name w:val="列表 211"/>
    <w:basedOn w:val="906"/>
    <w:uiPriority w:val="0"/>
    <w:qFormat/>
    <w:pPr>
      <w:ind w:left="100" w:hanging="200"/>
    </w:pPr>
  </w:style>
  <w:style w:type="paragraph" w:styleId="909" w:customStyle="1">
    <w:name w:val="标题 111"/>
    <w:basedOn w:val="728"/>
    <w:next w:val="726"/>
    <w:uiPriority w:val="0"/>
    <w:qFormat/>
    <w:pPr>
      <w:ind w:left="1373"/>
      <w:jc w:val="left"/>
      <w:spacing w:before="59"/>
      <w:outlineLvl w:val="1"/>
    </w:pPr>
    <w:rPr>
      <w:rFonts w:ascii="仿宋" w:eastAsia="仿宋"/>
      <w:b/>
      <w:bCs/>
      <w:sz w:val="30"/>
      <w:szCs w:val="30"/>
      <w:lang w:val="zh-CN" w:bidi="zh-CN"/>
    </w:rPr>
  </w:style>
  <w:style w:type="paragraph" w:styleId="910" w:customStyle="1">
    <w:name w:val="标题 211"/>
    <w:next w:val="911"/>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11" w:customStyle="1">
    <w:name w:val="正文1111"/>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标题 311"/>
    <w:next w:val="726"/>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13" w:customStyle="1">
    <w:name w:val="标题 411"/>
    <w:basedOn w:val="738"/>
    <w:next w:val="676"/>
    <w:uiPriority w:val="0"/>
    <w:qFormat/>
    <w:pPr>
      <w:keepLines/>
      <w:keepNext/>
      <w:spacing w:before="320" w:after="200"/>
      <w:outlineLvl w:val="3"/>
    </w:pPr>
    <w:rPr>
      <w:rFonts w:ascii="Arial" w:hAnsi="Arial" w:eastAsia="Arial"/>
      <w:b/>
      <w:bCs/>
      <w:sz w:val="26"/>
      <w:szCs w:val="26"/>
    </w:rPr>
  </w:style>
  <w:style w:type="paragraph" w:styleId="914" w:customStyle="1">
    <w:name w:val="标题 51"/>
    <w:next w:val="726"/>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15" w:customStyle="1">
    <w:name w:val="标题 61"/>
    <w:next w:val="726"/>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16" w:customStyle="1">
    <w:name w:val="标题 71"/>
    <w:next w:val="726"/>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17" w:customStyle="1">
    <w:name w:val="标题 81"/>
    <w:next w:val="726"/>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18" w:customStyle="1">
    <w:name w:val="标题 91"/>
    <w:next w:val="726"/>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19" w:customStyle="1">
    <w:name w:val="默认段落字体11"/>
    <w:uiPriority w:val="0"/>
    <w:qFormat/>
  </w:style>
  <w:style w:type="character" w:styleId="920" w:customStyle="1">
    <w:name w:val="脚注引用1"/>
    <w:uiPriority w:val="0"/>
    <w:qFormat/>
    <w:rPr>
      <w:vertAlign w:val="superscript"/>
    </w:rPr>
  </w:style>
  <w:style w:type="character" w:styleId="921" w:customStyle="1">
    <w:name w:val="强调11"/>
    <w:uiPriority w:val="0"/>
    <w:qFormat/>
    <w:rPr>
      <w:i/>
    </w:rPr>
  </w:style>
  <w:style w:type="character" w:styleId="922" w:customStyle="1">
    <w:name w:val="页码1"/>
    <w:basedOn w:val="923"/>
    <w:link w:val="728"/>
    <w:uiPriority w:val="0"/>
    <w:qFormat/>
    <w:rPr>
      <w:rFonts w:ascii="Times New Roman" w:hAnsi="Times New Roman" w:eastAsia="宋体"/>
    </w:rPr>
  </w:style>
  <w:style w:type="character" w:styleId="923" w:customStyle="1">
    <w:name w:val="默认段落字体1"/>
    <w:link w:val="728"/>
    <w:uiPriority w:val="0"/>
    <w:qFormat/>
    <w:rPr>
      <w:rFonts w:ascii="Times New Roman" w:hAnsi="Times New Roman" w:eastAsia="宋体"/>
    </w:rPr>
  </w:style>
  <w:style w:type="paragraph" w:styleId="924" w:customStyle="1">
    <w:name w:val="标题 11"/>
    <w:basedOn w:val="728"/>
    <w:next w:val="728"/>
    <w:uiPriority w:val="0"/>
    <w:qFormat/>
    <w:pPr>
      <w:keepLines/>
      <w:keepNext/>
      <w:spacing w:before="340" w:after="330" w:line="576" w:lineRule="auto"/>
      <w:outlineLvl w:val="0"/>
    </w:pPr>
    <w:rPr>
      <w:b/>
      <w:sz w:val="44"/>
      <w:szCs w:val="20"/>
    </w:rPr>
  </w:style>
  <w:style w:type="character" w:styleId="925" w:customStyle="1">
    <w:name w:val="HTML 引文1"/>
    <w:uiPriority w:val="0"/>
    <w:qFormat/>
    <w:rPr>
      <w:color w:val="008000"/>
    </w:rPr>
  </w:style>
  <w:style w:type="character" w:styleId="926" w:customStyle="1">
    <w:name w:val="已访问的超链接1"/>
    <w:uiPriority w:val="0"/>
    <w:qFormat/>
    <w:rPr>
      <w:color w:val="771caa"/>
      <w:u w:val="none"/>
    </w:rPr>
  </w:style>
  <w:style w:type="paragraph" w:styleId="927" w:customStyle="1">
    <w:name w:val="批注框文本1"/>
    <w:basedOn w:val="728"/>
    <w:uiPriority w:val="0"/>
    <w:qFormat/>
    <w:rPr>
      <w:sz w:val="18"/>
      <w:szCs w:val="18"/>
    </w:rPr>
  </w:style>
  <w:style w:type="character" w:styleId="928" w:customStyle="1">
    <w:name w:val="font11"/>
    <w:uiPriority w:val="0"/>
    <w:qFormat/>
    <w:rPr>
      <w:rFonts w:ascii="宋体" w:eastAsia="宋体"/>
      <w:color w:val="000000"/>
      <w:sz w:val="28"/>
      <w:szCs w:val="28"/>
      <w:u w:val="none"/>
      <w:vertAlign w:val="superscript"/>
    </w:rPr>
  </w:style>
  <w:style w:type="paragraph" w:styleId="929" w:customStyle="1">
    <w:name w:val="页眉1"/>
    <w:basedOn w:val="728"/>
    <w:uiPriority w:val="0"/>
    <w:qFormat/>
    <w:pPr>
      <w:jc w:val="center"/>
      <w:tabs>
        <w:tab w:val="center" w:pos="4153" w:leader="none"/>
        <w:tab w:val="right" w:pos="8306" w:leader="none"/>
      </w:tabs>
      <w:pBdr>
        <w:bottom w:val="single" w:color="000000" w:sz="6" w:space="1"/>
      </w:pBdr>
    </w:pPr>
    <w:rPr>
      <w:sz w:val="18"/>
      <w:szCs w:val="18"/>
    </w:rPr>
  </w:style>
  <w:style w:type="paragraph" w:styleId="930" w:customStyle="1">
    <w:name w:val="无间隔11"/>
    <w:uiPriority w:val="0"/>
    <w:qFormat/>
    <w:rPr>
      <w:rFonts w:hint="default" w:ascii="Calibri" w:hAnsi="Calibri" w:eastAsia="宋体" w:cs="Times New Roman"/>
      <w:sz w:val="22"/>
      <w:szCs w:val="22"/>
      <w:lang w:val="en-US" w:eastAsia="zh-CN" w:bidi="ar-SA"/>
    </w:rPr>
  </w:style>
  <w:style w:type="paragraph" w:styleId="931" w:customStyle="1">
    <w:name w:val="批注文字1"/>
    <w:basedOn w:val="728"/>
    <w:uiPriority w:val="0"/>
    <w:qFormat/>
    <w:pPr>
      <w:jc w:val="left"/>
    </w:pPr>
  </w:style>
  <w:style w:type="character" w:styleId="932" w:customStyle="1">
    <w:name w:val="chewduserlogo"/>
    <w:uiPriority w:val="0"/>
    <w:qFormat/>
  </w:style>
  <w:style w:type="character" w:styleId="933" w:customStyle="1">
    <w:name w:val="HTML 定义1"/>
    <w:uiPriority w:val="0"/>
    <w:qFormat/>
  </w:style>
  <w:style w:type="paragraph" w:styleId="934" w:customStyle="1">
    <w:name w:val="批注主题1"/>
    <w:basedOn w:val="931"/>
    <w:next w:val="931"/>
    <w:uiPriority w:val="0"/>
    <w:qFormat/>
    <w:rPr>
      <w:b/>
      <w:bCs/>
    </w:rPr>
  </w:style>
  <w:style w:type="paragraph" w:styleId="935"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36" w:customStyle="1">
    <w:name w:val="超链接11"/>
    <w:uiPriority w:val="0"/>
    <w:qFormat/>
    <w:rPr>
      <w:color w:val="0000ff"/>
      <w:u w:val="single"/>
    </w:rPr>
  </w:style>
  <w:style w:type="character" w:styleId="937" w:customStyle="1">
    <w:name w:val="尾注引用1"/>
    <w:uiPriority w:val="0"/>
    <w:qFormat/>
    <w:rPr>
      <w:vertAlign w:val="superscript"/>
    </w:rPr>
  </w:style>
  <w:style w:type="character" w:styleId="938" w:customStyle="1">
    <w:name w:val="hover27"/>
    <w:uiPriority w:val="0"/>
    <w:qFormat/>
    <w:rPr>
      <w:color w:val="315efb"/>
    </w:rPr>
  </w:style>
  <w:style w:type="paragraph" w:styleId="939" w:customStyle="1">
    <w:name w:val="页脚11"/>
    <w:basedOn w:val="726"/>
    <w:uiPriority w:val="0"/>
    <w:qFormat/>
    <w:pPr>
      <w:tabs>
        <w:tab w:val="center" w:pos="7143" w:leader="none"/>
        <w:tab w:val="right" w:pos="14287" w:leader="none"/>
      </w:tabs>
    </w:pPr>
  </w:style>
  <w:style w:type="character" w:styleId="940" w:customStyle="1">
    <w:name w:val="hover26"/>
    <w:uiPriority w:val="0"/>
    <w:qFormat/>
  </w:style>
  <w:style w:type="paragraph" w:styleId="941" w:customStyle="1">
    <w:name w:val="页脚1"/>
    <w:basedOn w:val="728"/>
    <w:uiPriority w:val="0"/>
    <w:qFormat/>
    <w:pPr>
      <w:jc w:val="left"/>
      <w:tabs>
        <w:tab w:val="center" w:pos="4153" w:leader="none"/>
        <w:tab w:val="right" w:pos="8306" w:leader="none"/>
      </w:tabs>
    </w:pPr>
    <w:rPr>
      <w:sz w:val="18"/>
      <w:szCs w:val="18"/>
    </w:rPr>
  </w:style>
  <w:style w:type="character" w:styleId="942" w:customStyle="1">
    <w:name w:val="hover25"/>
    <w:uiPriority w:val="0"/>
    <w:qFormat/>
  </w:style>
  <w:style w:type="character" w:styleId="943" w:customStyle="1">
    <w:name w:val="awspan"/>
    <w:uiPriority w:val="0"/>
    <w:qFormat/>
  </w:style>
  <w:style w:type="character" w:styleId="944" w:customStyle="1">
    <w:name w:val="批注引用1"/>
    <w:uiPriority w:val="0"/>
    <w:qFormat/>
    <w:rPr>
      <w:rFonts w:ascii="Times New Roman" w:hAnsi="Times New Roman" w:eastAsia="宋体"/>
      <w:sz w:val="21"/>
      <w:szCs w:val="21"/>
    </w:rPr>
  </w:style>
  <w:style w:type="character" w:styleId="945" w:customStyle="1">
    <w:name w:val="Footer Char"/>
    <w:uiPriority w:val="0"/>
    <w:qFormat/>
  </w:style>
  <w:style w:type="paragraph" w:styleId="946" w:customStyle="1">
    <w:name w:val="引用11"/>
    <w:uiPriority w:val="0"/>
    <w:qFormat/>
    <w:pPr>
      <w:ind w:left="720" w:right="720"/>
    </w:pPr>
    <w:rPr>
      <w:rFonts w:hint="default" w:ascii="Calibri" w:hAnsi="Calibri" w:eastAsia="宋体" w:cs="Times New Roman"/>
      <w:i/>
      <w:lang w:val="en-US" w:eastAsia="zh-CN" w:bidi="ar-SA"/>
    </w:rPr>
  </w:style>
  <w:style w:type="character" w:styleId="947" w:customStyle="1">
    <w:name w:val="page-start"/>
    <w:uiPriority w:val="0"/>
    <w:qFormat/>
    <w:rPr>
      <w:color w:val="999999"/>
      <w:u w:val="none"/>
      <w:shd w:val="clear" w:color="auto" w:fill="fafafa"/>
    </w:rPr>
  </w:style>
  <w:style w:type="paragraph" w:styleId="948"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49" w:customStyle="1">
    <w:name w:val="c-icon"/>
    <w:uiPriority w:val="0"/>
    <w:qFormat/>
  </w:style>
  <w:style w:type="paragraph" w:styleId="950"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51" w:customStyle="1">
    <w:name w:val="尾注文本1"/>
    <w:uiPriority w:val="0"/>
    <w:qFormat/>
    <w:rPr>
      <w:rFonts w:hint="default" w:ascii="Calibri" w:hAnsi="Calibri" w:eastAsia="宋体" w:cs="Times New Roman"/>
      <w:lang w:val="en-US" w:eastAsia="zh-CN" w:bidi="ar-SA"/>
    </w:rPr>
  </w:style>
  <w:style w:type="character" w:styleId="952" w:customStyle="1">
    <w:name w:val="强调1"/>
    <w:uiPriority w:val="0"/>
    <w:qFormat/>
    <w:rPr>
      <w:color w:val="f73131"/>
    </w:rPr>
  </w:style>
  <w:style w:type="character" w:styleId="953" w:customStyle="1">
    <w:name w:val="hover24"/>
    <w:uiPriority w:val="0"/>
    <w:qFormat/>
    <w:rPr>
      <w:color w:val="315efb"/>
    </w:rPr>
  </w:style>
  <w:style w:type="paragraph" w:styleId="954" w:customStyle="1">
    <w:name w:val="页眉11"/>
    <w:basedOn w:val="726"/>
    <w:uiPriority w:val="0"/>
    <w:qFormat/>
    <w:pPr>
      <w:tabs>
        <w:tab w:val="center" w:pos="7143" w:leader="none"/>
        <w:tab w:val="right" w:pos="14287" w:leader="none"/>
      </w:tabs>
    </w:pPr>
  </w:style>
  <w:style w:type="character" w:styleId="955" w:customStyle="1">
    <w:name w:val="超链接1"/>
    <w:uiPriority w:val="0"/>
    <w:qFormat/>
    <w:rPr>
      <w:color w:val="2440b3"/>
      <w:u w:val="none"/>
    </w:rPr>
  </w:style>
  <w:style w:type="character" w:styleId="956" w:customStyle="1">
    <w:name w:val="c-icon30"/>
    <w:uiPriority w:val="0"/>
    <w:qFormat/>
  </w:style>
  <w:style w:type="character" w:styleId="957" w:customStyle="1">
    <w:name w:val="page-cur"/>
    <w:uiPriority w:val="0"/>
    <w:qFormat/>
    <w:rPr>
      <w:color w:val="999999"/>
      <w:u w:val="none"/>
      <w:shd w:val="clear" w:color="auto" w:fill="fafafa"/>
    </w:rPr>
  </w:style>
  <w:style w:type="character" w:styleId="958" w:customStyle="1">
    <w:name w:val="awspan1"/>
    <w:uiPriority w:val="0"/>
    <w:qFormat/>
    <w:rPr>
      <w:color w:val="000000"/>
      <w:sz w:val="24"/>
      <w:szCs w:val="24"/>
    </w:rPr>
  </w:style>
  <w:style w:type="paragraph" w:styleId="959" w:customStyle="1">
    <w:name w:val="目录 11"/>
    <w:basedOn w:val="738"/>
    <w:next w:val="738"/>
    <w:uiPriority w:val="0"/>
    <w:qFormat/>
    <w:pPr>
      <w:spacing w:after="57"/>
    </w:pPr>
    <w:rPr>
      <w:rFonts w:hint="default" w:ascii="Calibri" w:hAnsi="Calibri" w:eastAsia="宋体" w:cs="Times New Roman"/>
      <w:lang w:val="en-US" w:eastAsia="zh-CN" w:bidi="ar-SA"/>
    </w:rPr>
  </w:style>
  <w:style w:type="paragraph" w:styleId="960" w:customStyle="1">
    <w:name w:val="目录 31"/>
    <w:next w:val="726"/>
    <w:uiPriority w:val="0"/>
    <w:qFormat/>
    <w:pPr>
      <w:ind w:left="567"/>
      <w:spacing w:after="57"/>
    </w:pPr>
    <w:rPr>
      <w:rFonts w:hint="default" w:ascii="Calibri" w:hAnsi="Calibri" w:eastAsia="宋体" w:cs="Times New Roman"/>
      <w:lang w:val="en-US" w:eastAsia="zh-CN" w:bidi="ar-SA"/>
    </w:rPr>
  </w:style>
  <w:style w:type="paragraph" w:styleId="961" w:customStyle="1">
    <w:name w:val="文本块11"/>
    <w:basedOn w:val="726"/>
    <w:uiPriority w:val="0"/>
    <w:qFormat/>
    <w:pPr>
      <w:ind w:left="268" w:right="-24" w:firstLine="473"/>
    </w:pPr>
    <w:rPr>
      <w:bCs/>
    </w:rPr>
  </w:style>
  <w:style w:type="paragraph" w:styleId="962" w:customStyle="1">
    <w:name w:val="目录 61"/>
    <w:next w:val="726"/>
    <w:uiPriority w:val="0"/>
    <w:qFormat/>
    <w:pPr>
      <w:ind w:left="1417"/>
      <w:spacing w:after="57"/>
    </w:pPr>
    <w:rPr>
      <w:rFonts w:hint="default" w:ascii="Calibri" w:hAnsi="Calibri" w:eastAsia="宋体" w:cs="Times New Roman"/>
      <w:lang w:val="en-US" w:eastAsia="zh-CN" w:bidi="ar-SA"/>
    </w:rPr>
  </w:style>
  <w:style w:type="paragraph" w:styleId="963" w:customStyle="1">
    <w:name w:val="目录 71"/>
    <w:next w:val="726"/>
    <w:uiPriority w:val="0"/>
    <w:qFormat/>
    <w:pPr>
      <w:ind w:left="1701"/>
      <w:spacing w:after="57"/>
    </w:pPr>
    <w:rPr>
      <w:rFonts w:hint="default" w:ascii="Calibri" w:hAnsi="Calibri" w:eastAsia="宋体" w:cs="Times New Roman"/>
      <w:lang w:val="en-US" w:eastAsia="zh-CN" w:bidi="ar-SA"/>
    </w:rPr>
  </w:style>
  <w:style w:type="paragraph" w:styleId="964" w:customStyle="1">
    <w:name w:val="纯文本11"/>
    <w:basedOn w:val="738"/>
    <w:uiPriority w:val="0"/>
    <w:qFormat/>
    <w:rPr>
      <w:rFonts w:ascii="宋体" w:hAnsi="宋体" w:eastAsia="仿宋_GB2312"/>
      <w:sz w:val="30"/>
    </w:rPr>
  </w:style>
  <w:style w:type="paragraph" w:styleId="965" w:customStyle="1">
    <w:name w:val="正文文本111"/>
    <w:basedOn w:val="726"/>
    <w:next w:val="723"/>
    <w:uiPriority w:val="0"/>
    <w:qFormat/>
    <w:rPr>
      <w:rFonts w:ascii="金山简黑体" w:eastAsia="金山简黑体"/>
      <w:b/>
      <w:spacing w:val="-8"/>
      <w:sz w:val="44"/>
    </w:rPr>
  </w:style>
  <w:style w:type="paragraph" w:styleId="966" w:customStyle="1">
    <w:name w:val="批注文字11"/>
    <w:basedOn w:val="726"/>
    <w:uiPriority w:val="0"/>
    <w:qFormat/>
    <w:rPr>
      <w:sz w:val="22"/>
      <w:szCs w:val="22"/>
    </w:rPr>
  </w:style>
  <w:style w:type="paragraph" w:styleId="967" w:customStyle="1">
    <w:name w:val="首行缩进"/>
    <w:basedOn w:val="728"/>
    <w:next w:val="728"/>
    <w:uiPriority w:val="0"/>
    <w:qFormat/>
    <w:pPr>
      <w:ind w:firstLine="480"/>
      <w:spacing w:line="360" w:lineRule="auto"/>
    </w:pPr>
    <w:rPr>
      <w:rFonts w:ascii="宋体"/>
      <w:sz w:val="24"/>
    </w:rPr>
  </w:style>
  <w:style w:type="paragraph" w:styleId="968" w:customStyle="1">
    <w:name w:val="+正文"/>
    <w:basedOn w:val="728"/>
    <w:uiPriority w:val="0"/>
    <w:qFormat/>
    <w:pPr>
      <w:ind w:firstLine="200"/>
      <w:jc w:val="left"/>
      <w:spacing w:line="500" w:lineRule="exact"/>
    </w:pPr>
    <w:rPr>
      <w:rFonts w:ascii="Times New Roman" w:hAnsi="Times New Roman"/>
      <w:sz w:val="24"/>
      <w:szCs w:val="28"/>
    </w:rPr>
  </w:style>
  <w:style w:type="paragraph" w:styleId="969"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970" w:customStyle="1">
    <w:name w:val="正文文本缩进 21"/>
    <w:basedOn w:val="728"/>
    <w:uiPriority w:val="0"/>
    <w:qFormat/>
    <w:pPr>
      <w:ind w:left="630" w:firstLine="645"/>
    </w:pPr>
    <w:rPr>
      <w:rFonts w:ascii="Arial" w:hAnsi="Arial" w:eastAsia="仿宋_GB2312"/>
      <w:sz w:val="32"/>
      <w:szCs w:val="32"/>
    </w:rPr>
  </w:style>
  <w:style w:type="paragraph" w:styleId="971" w:customStyle="1">
    <w:name w:val="列出段落11"/>
    <w:basedOn w:val="728"/>
    <w:uiPriority w:val="0"/>
    <w:qFormat/>
    <w:pPr>
      <w:ind w:firstLine="420"/>
      <w:jc w:val="left"/>
      <w:spacing w:line="360" w:lineRule="atLeast"/>
    </w:pPr>
    <w:rPr>
      <w:sz w:val="24"/>
    </w:rPr>
  </w:style>
  <w:style w:type="paragraph" w:styleId="972" w:customStyle="1">
    <w:name w:val="无间隔121"/>
    <w:uiPriority w:val="0"/>
    <w:qFormat/>
    <w:rPr>
      <w:rFonts w:hint="default" w:ascii="Calibri" w:hAnsi="Calibri" w:eastAsia="宋体" w:cs="Times New Roman"/>
      <w:lang w:val="en-US" w:eastAsia="zh-CN" w:bidi="ar-SA"/>
    </w:rPr>
  </w:style>
  <w:style w:type="paragraph" w:styleId="973" w:customStyle="1">
    <w:name w:val="表格文本"/>
    <w:basedOn w:val="728"/>
    <w:uiPriority w:val="0"/>
    <w:qFormat/>
    <w:pPr>
      <w:jc w:val="center"/>
    </w:pPr>
    <w:rPr>
      <w:rFonts w:ascii="宋体"/>
      <w:bCs/>
      <w:szCs w:val="21"/>
    </w:rPr>
  </w:style>
  <w:style w:type="paragraph" w:styleId="974" w:customStyle="1">
    <w:name w:val="表格文字"/>
    <w:basedOn w:val="728"/>
    <w:next w:val="734"/>
    <w:uiPriority w:val="0"/>
    <w:qFormat/>
    <w:pPr>
      <w:jc w:val="left"/>
    </w:pPr>
    <w:rPr>
      <w:bCs/>
      <w:spacing w:val="10"/>
      <w:sz w:val="20"/>
      <w:szCs w:val="20"/>
    </w:rPr>
  </w:style>
  <w:style w:type="paragraph" w:styleId="975" w:customStyle="1">
    <w:name w:val="题注1"/>
    <w:next w:val="726"/>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976" w:customStyle="1">
    <w:name w:val="正文121"/>
    <w:next w:val="907"/>
    <w:uiPriority w:val="0"/>
    <w:qFormat/>
    <w:rPr>
      <w:rFonts w:hint="default" w:ascii="Times New Roman" w:hAnsi="Times New Roman" w:eastAsia="宋体" w:cs="Times New Roman"/>
      <w:lang w:val="en-US" w:eastAsia="zh-CN" w:bidi="ar-SA"/>
    </w:rPr>
  </w:style>
  <w:style w:type="paragraph" w:styleId="977" w:customStyle="1">
    <w:name w:val="普通(网站)11"/>
    <w:basedOn w:val="726"/>
    <w:uiPriority w:val="0"/>
    <w:qFormat/>
    <w:rPr>
      <w:sz w:val="24"/>
    </w:rPr>
  </w:style>
  <w:style w:type="paragraph" w:styleId="978" w:customStyle="1">
    <w:name w:val="目录 41"/>
    <w:next w:val="726"/>
    <w:uiPriority w:val="0"/>
    <w:qFormat/>
    <w:pPr>
      <w:ind w:left="850"/>
      <w:spacing w:after="57"/>
    </w:pPr>
    <w:rPr>
      <w:rFonts w:hint="default" w:ascii="Calibri" w:hAnsi="Calibri" w:eastAsia="宋体" w:cs="Times New Roman"/>
      <w:lang w:val="en-US" w:eastAsia="zh-CN" w:bidi="ar-SA"/>
    </w:rPr>
  </w:style>
  <w:style w:type="paragraph" w:styleId="979" w:customStyle="1">
    <w:name w:val="目录 81"/>
    <w:next w:val="726"/>
    <w:uiPriority w:val="0"/>
    <w:qFormat/>
    <w:pPr>
      <w:ind w:left="1984"/>
      <w:spacing w:after="57"/>
    </w:pPr>
    <w:rPr>
      <w:rFonts w:hint="default" w:ascii="Calibri" w:hAnsi="Calibri" w:eastAsia="宋体" w:cs="Times New Roman"/>
      <w:lang w:val="en-US" w:eastAsia="zh-CN" w:bidi="ar-SA"/>
    </w:rPr>
  </w:style>
  <w:style w:type="paragraph" w:styleId="980" w:customStyle="1">
    <w:name w:val="图表目录1"/>
    <w:next w:val="726"/>
    <w:uiPriority w:val="0"/>
    <w:qFormat/>
    <w:rPr>
      <w:rFonts w:hint="default" w:ascii="Calibri" w:hAnsi="Calibri" w:eastAsia="宋体" w:cs="Times New Roman"/>
      <w:lang w:val="en-US" w:eastAsia="zh-CN" w:bidi="ar-SA"/>
    </w:rPr>
  </w:style>
  <w:style w:type="paragraph" w:styleId="981" w:customStyle="1">
    <w:name w:val="寄信人地址2"/>
    <w:basedOn w:val="726"/>
    <w:uiPriority w:val="0"/>
    <w:qFormat/>
    <w:rPr>
      <w:rFonts w:ascii="Arial" w:hAnsi="Arial"/>
    </w:rPr>
  </w:style>
  <w:style w:type="paragraph" w:styleId="982" w:customStyle="1">
    <w:name w:val="目录 91"/>
    <w:basedOn w:val="726"/>
    <w:next w:val="726"/>
    <w:uiPriority w:val="0"/>
    <w:qFormat/>
    <w:pPr>
      <w:ind w:left="2268"/>
      <w:spacing w:after="57"/>
    </w:pPr>
    <w:rPr>
      <w:rFonts w:ascii="Times New Roman" w:hAnsi="Times New Roman"/>
    </w:rPr>
  </w:style>
  <w:style w:type="paragraph" w:styleId="983" w:customStyle="1">
    <w:name w:val="目录 51"/>
    <w:next w:val="726"/>
    <w:uiPriority w:val="0"/>
    <w:qFormat/>
    <w:pPr>
      <w:ind w:left="1134"/>
      <w:spacing w:after="57"/>
    </w:pPr>
    <w:rPr>
      <w:rFonts w:hint="default" w:ascii="Calibri" w:hAnsi="Calibri" w:eastAsia="宋体" w:cs="Times New Roman"/>
      <w:lang w:val="en-US" w:eastAsia="zh-CN" w:bidi="ar-SA"/>
    </w:rPr>
  </w:style>
  <w:style w:type="paragraph" w:styleId="984" w:customStyle="1">
    <w:name w:val="正文文本缩进 22"/>
    <w:basedOn w:val="726"/>
    <w:uiPriority w:val="0"/>
    <w:qFormat/>
    <w:pPr>
      <w:ind w:left="420"/>
      <w:spacing w:after="120" w:line="480" w:lineRule="auto"/>
    </w:pPr>
  </w:style>
  <w:style w:type="paragraph" w:styleId="985" w:customStyle="1">
    <w:name w:val="表格3"/>
    <w:basedOn w:val="728"/>
    <w:uiPriority w:val="0"/>
    <w:qFormat/>
    <w:pPr>
      <w:jc w:val="center"/>
    </w:pPr>
    <w:rPr>
      <w:rFonts w:ascii="Times New Roman" w:hAnsi="Times New Roman"/>
    </w:rPr>
  </w:style>
  <w:style w:type="paragraph" w:styleId="986" w:customStyle="1">
    <w:name w:val="Char"/>
    <w:basedOn w:val="728"/>
    <w:uiPriority w:val="0"/>
    <w:qFormat/>
    <w:pPr>
      <w:tabs>
        <w:tab w:val="left" w:pos="360" w:leader="none"/>
      </w:tabs>
    </w:pPr>
    <w:rPr>
      <w:rFonts w:ascii="Times New Roman" w:hAnsi="Times New Roman"/>
      <w:sz w:val="24"/>
    </w:rPr>
  </w:style>
  <w:style w:type="paragraph" w:styleId="987" w:customStyle="1">
    <w:name w:val="样式"/>
    <w:basedOn w:val="728"/>
    <w:uiPriority w:val="0"/>
    <w:qFormat/>
    <w:pPr>
      <w:jc w:val="left"/>
    </w:pPr>
    <w:rPr>
      <w:rFonts w:ascii="宋体"/>
      <w:sz w:val="24"/>
    </w:rPr>
  </w:style>
  <w:style w:type="paragraph" w:styleId="988" w:customStyle="1">
    <w:name w:val="_Style 49"/>
    <w:basedOn w:val="726"/>
    <w:next w:val="964"/>
    <w:uiPriority w:val="0"/>
    <w:qFormat/>
    <w:rPr>
      <w:rFonts w:ascii="宋体"/>
      <w:sz w:val="24"/>
    </w:rPr>
  </w:style>
  <w:style w:type="paragraph" w:styleId="989" w:customStyle="1">
    <w:name w:val="默认段落字体 Para Char Char Char Char Char Char Char"/>
    <w:basedOn w:val="728"/>
    <w:uiPriority w:val="0"/>
    <w:qFormat/>
    <w:rPr>
      <w:rFonts w:ascii="Tahoma" w:hAnsi="Tahoma"/>
      <w:sz w:val="24"/>
      <w:szCs w:val="20"/>
    </w:rPr>
  </w:style>
  <w:style w:type="paragraph" w:styleId="990" w:customStyle="1">
    <w:name w:val="[基本段落]"/>
    <w:basedOn w:val="728"/>
    <w:uiPriority w:val="0"/>
    <w:qFormat/>
    <w:pPr>
      <w:spacing w:line="288" w:lineRule="auto"/>
    </w:pPr>
    <w:rPr>
      <w:rFonts w:ascii="宋体"/>
      <w:color w:val="000000"/>
      <w:sz w:val="24"/>
      <w:lang w:val="zh-CN"/>
    </w:rPr>
  </w:style>
  <w:style w:type="paragraph" w:styleId="991" w:customStyle="1">
    <w:name w:val="普通(网站)1"/>
    <w:basedOn w:val="728"/>
    <w:uiPriority w:val="0"/>
    <w:qFormat/>
    <w:pPr>
      <w:jc w:val="left"/>
      <w:spacing w:before="100" w:beforeAutospacing="1" w:after="100" w:afterAutospacing="1"/>
      <w:widowControl/>
    </w:pPr>
    <w:rPr>
      <w:rFonts w:ascii="宋体"/>
      <w:sz w:val="24"/>
    </w:rPr>
  </w:style>
  <w:style w:type="paragraph" w:styleId="992" w:customStyle="1">
    <w:name w:val="TOC 标题11"/>
    <w:uiPriority w:val="0"/>
    <w:qFormat/>
    <w:rPr>
      <w:rFonts w:hint="default" w:ascii="Calibri" w:hAnsi="Calibri" w:eastAsia="宋体" w:cs="Times New Roman"/>
      <w:lang w:val="en-US" w:eastAsia="zh-CN" w:bidi="ar-SA"/>
    </w:rPr>
  </w:style>
  <w:style w:type="paragraph" w:styleId="993" w:customStyle="1">
    <w:name w:val="样式 首行缩进:  2 字符"/>
    <w:basedOn w:val="728"/>
    <w:uiPriority w:val="0"/>
    <w:qFormat/>
    <w:pPr>
      <w:ind w:firstLine="200"/>
      <w:spacing w:line="400" w:lineRule="exact"/>
    </w:pPr>
    <w:rPr>
      <w:sz w:val="24"/>
    </w:rPr>
  </w:style>
  <w:style w:type="paragraph" w:styleId="994" w:customStyle="1">
    <w:name w:val="Table Paragraph"/>
    <w:basedOn w:val="728"/>
    <w:uiPriority w:val="0"/>
    <w:qFormat/>
    <w:pPr>
      <w:jc w:val="left"/>
    </w:pPr>
    <w:rPr>
      <w:rFonts w:ascii="仿宋" w:eastAsia="仿宋"/>
      <w:sz w:val="22"/>
      <w:szCs w:val="22"/>
      <w:lang w:val="zh-CN" w:bidi="zh-CN"/>
    </w:rPr>
  </w:style>
  <w:style w:type="paragraph" w:styleId="995" w:customStyle="1">
    <w:name w:val="Style1"/>
    <w:basedOn w:val="726"/>
    <w:uiPriority w:val="0"/>
    <w:qFormat/>
    <w:pPr>
      <w:spacing w:after="120"/>
      <w:tabs>
        <w:tab w:val="left" w:pos="-720" w:leader="none"/>
      </w:tabs>
    </w:pPr>
    <w:rPr>
      <w:spacing w:val="-3"/>
      <w:sz w:val="24"/>
      <w:lang w:val="en-AU"/>
    </w:rPr>
  </w:style>
  <w:style w:type="paragraph" w:styleId="996" w:customStyle="1">
    <w:name w:val="列表 21"/>
    <w:basedOn w:val="728"/>
    <w:uiPriority w:val="0"/>
    <w:qFormat/>
    <w:pPr>
      <w:ind w:left="100" w:hanging="200"/>
    </w:pPr>
  </w:style>
  <w:style w:type="paragraph" w:styleId="997" w:customStyle="1">
    <w:name w:val="标题 31"/>
    <w:basedOn w:val="728"/>
    <w:next w:val="728"/>
    <w:uiPriority w:val="0"/>
    <w:qFormat/>
    <w:pPr>
      <w:ind w:left="50" w:right="31"/>
      <w:jc w:val="center"/>
      <w:spacing w:before="39"/>
      <w:outlineLvl w:val="2"/>
    </w:pPr>
    <w:rPr>
      <w:sz w:val="30"/>
      <w:szCs w:val="30"/>
    </w:rPr>
  </w:style>
  <w:style w:type="paragraph" w:styleId="998" w:customStyle="1">
    <w:name w:val="列表段落1"/>
    <w:basedOn w:val="728"/>
    <w:next w:val="676"/>
    <w:uiPriority w:val="0"/>
    <w:qFormat/>
    <w:pPr>
      <w:ind w:firstLine="420"/>
    </w:pPr>
    <w:rPr>
      <w:sz w:val="22"/>
      <w:szCs w:val="22"/>
    </w:rPr>
  </w:style>
  <w:style w:type="paragraph" w:styleId="999" w:customStyle="1">
    <w:name w:val="列出段落2"/>
    <w:basedOn w:val="726"/>
    <w:uiPriority w:val="0"/>
    <w:qFormat/>
    <w:pPr>
      <w:contextualSpacing/>
      <w:ind w:left="720"/>
    </w:pPr>
    <w:rPr>
      <w:rFonts w:ascii="Times New Roman" w:hAnsi="Times New Roman"/>
    </w:rPr>
  </w:style>
  <w:style w:type="paragraph" w:styleId="1000" w:customStyle="1">
    <w:name w:val="WPSOffice手动目录 1"/>
    <w:uiPriority w:val="0"/>
    <w:qFormat/>
    <w:rPr>
      <w:rFonts w:hint="default" w:ascii="Calibri" w:hAnsi="Calibri" w:eastAsia="宋体" w:cs="Times New Roman"/>
      <w:lang w:val="en-US" w:eastAsia="zh-CN" w:bidi="ar-SA"/>
    </w:rPr>
  </w:style>
  <w:style w:type="paragraph" w:styleId="1001"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footer1"/>
    <w:basedOn w:val="676"/>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03" w:customStyle="1">
    <w:name w:val="段落文字"/>
    <w:basedOn w:val="676"/>
    <w:uiPriority w:val="0"/>
    <w:qFormat/>
    <w:pPr>
      <w:ind w:firstLine="200"/>
      <w:spacing w:line="360" w:lineRule="auto"/>
    </w:pPr>
    <w:rPr>
      <w:rFonts w:ascii="仿宋" w:eastAsia="仿宋"/>
      <w:sz w:val="28"/>
      <w:szCs w:val="28"/>
    </w:rPr>
  </w:style>
  <w:style w:type="character" w:styleId="1004" w:customStyle="1">
    <w:name w:val="NormalCharacter1"/>
    <w:link w:val="728"/>
    <w:uiPriority w:val="0"/>
    <w:semiHidden/>
    <w:qFormat/>
    <w:rPr>
      <w:rFonts w:ascii="Times New Roman" w:hAnsi="Times New Roman" w:eastAsia="宋体" w:cs="Times New Roman"/>
      <w:sz w:val="21"/>
      <w:szCs w:val="24"/>
      <w:lang w:val="en-US" w:eastAsia="zh-CN" w:bidi="ar-SA"/>
    </w:rPr>
  </w:style>
  <w:style w:type="paragraph" w:styleId="1005">
    <w:name w:val="List Paragraph"/>
    <w:basedOn w:val="676"/>
    <w:uiPriority w:val="0"/>
    <w:qFormat/>
    <w:pPr>
      <w:ind w:firstLine="420"/>
    </w:pPr>
    <w:rPr>
      <w:rFonts w:ascii="Calibri" w:hAnsi="Calibri" w:cstheme="minorBidi"/>
      <w:szCs w:val="22"/>
    </w:rPr>
  </w:style>
  <w:style w:type="paragraph" w:styleId="1006"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07" w:customStyle="1">
    <w:name w:val="font31"/>
    <w:basedOn w:val="686"/>
    <w:uiPriority w:val="0"/>
    <w:qFormat/>
    <w:rPr>
      <w:rFonts w:hint="eastAsia" w:ascii="宋体" w:hAnsi="宋体" w:eastAsia="宋体" w:cs="宋体"/>
      <w:color w:val="000000"/>
      <w:sz w:val="20"/>
      <w:szCs w:val="20"/>
      <w:u w:val="none"/>
    </w:rPr>
  </w:style>
  <w:style w:type="character" w:styleId="1008" w:customStyle="1">
    <w:name w:val="font61"/>
    <w:basedOn w:val="686"/>
    <w:uiPriority w:val="0"/>
    <w:qFormat/>
    <w:rPr>
      <w:rFonts w:hint="default" w:ascii="Times New Roman" w:hAnsi="Times New Roman" w:cs="Times New Roman"/>
      <w:color w:val="000000"/>
      <w:sz w:val="20"/>
      <w:szCs w:val="20"/>
      <w:u w:val="none"/>
    </w:rPr>
  </w:style>
  <w:style w:type="paragraph" w:styleId="1009" w:customStyle="1">
    <w:name w:val="文本块12"/>
    <w:basedOn w:val="676"/>
    <w:uiPriority w:val="0"/>
    <w:qFormat/>
    <w:pPr>
      <w:ind w:left="256" w:right="6" w:firstLine="624"/>
    </w:pPr>
    <w:rPr>
      <w:rFonts w:ascii="Times New Roman" w:hAnsi="Times New Roman" w:eastAsia="仿宋" w:cs="Times New Roman"/>
      <w:sz w:val="28"/>
      <w:szCs w:val="20"/>
    </w:rPr>
  </w:style>
  <w:style w:type="paragraph" w:styleId="1010" w:customStyle="1">
    <w:name w:val="Heading 3"/>
    <w:basedOn w:val="676"/>
    <w:next w:val="676"/>
    <w:uiPriority w:val="0"/>
    <w:unhideWhenUsed/>
    <w:qFormat/>
    <w:pPr>
      <w:keepLines/>
      <w:keepNext/>
      <w:spacing w:line="415" w:lineRule="auto"/>
      <w:outlineLvl w:val="2"/>
    </w:pPr>
    <w:rPr>
      <w:b/>
      <w:sz w:val="32"/>
      <w:szCs w:val="32"/>
    </w:rPr>
  </w:style>
  <w:style w:type="paragraph" w:styleId="1011" w:customStyle="1">
    <w:name w:val="Heading 4"/>
    <w:basedOn w:val="676"/>
    <w:next w:val="676"/>
    <w:uiPriority w:val="0"/>
    <w:unhideWhenUsed/>
    <w:qFormat/>
    <w:pPr>
      <w:keepLines/>
      <w:keepNext/>
      <w:spacing w:before="120" w:after="120"/>
      <w:outlineLvl w:val="3"/>
    </w:pPr>
    <w:rPr>
      <w:rFonts w:ascii="Arial" w:hAnsi="Arial" w:eastAsia="黑体"/>
      <w:b/>
      <w:sz w:val="20"/>
      <w:szCs w:val="20"/>
    </w:rPr>
  </w:style>
  <w:style w:type="paragraph" w:styleId="1012" w:customStyle="1">
    <w:name w:val="TOC 标题2"/>
    <w:basedOn w:val="1013"/>
    <w:next w:val="676"/>
    <w:uiPriority w:val="0"/>
    <w:unhideWhenUsed/>
    <w:qFormat/>
    <w:pPr>
      <w:jc w:val="center"/>
      <w:spacing w:before="260" w:after="260" w:line="413" w:lineRule="auto"/>
    </w:pPr>
    <w:rPr>
      <w:rFonts w:hint="eastAsia" w:ascii="宋体" w:hAnsi="宋体"/>
      <w:sz w:val="36"/>
      <w:lang w:val="zh-CN"/>
    </w:rPr>
  </w:style>
  <w:style w:type="paragraph" w:styleId="1013" w:customStyle="1">
    <w:name w:val="Heading 1"/>
    <w:basedOn w:val="676"/>
    <w:next w:val="676"/>
    <w:uiPriority w:val="0"/>
    <w:unhideWhenUsed/>
    <w:qFormat/>
    <w:pPr>
      <w:keepLines/>
      <w:keepNext/>
      <w:spacing w:before="340" w:after="330" w:line="578" w:lineRule="auto"/>
      <w:outlineLvl w:val="0"/>
    </w:pPr>
    <w:rPr>
      <w:b/>
      <w:sz w:val="44"/>
      <w:szCs w:val="44"/>
    </w:rPr>
  </w:style>
  <w:style w:type="paragraph" w:styleId="1014" w:customStyle="1">
    <w:name w:val="附件标题"/>
    <w:basedOn w:val="1015"/>
    <w:next w:val="676"/>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15" w:customStyle="1">
    <w:name w:val="Heading 2"/>
    <w:basedOn w:val="676"/>
    <w:next w:val="676"/>
    <w:uiPriority w:val="0"/>
    <w:unhideWhenUsed/>
    <w:qFormat/>
    <w:pPr>
      <w:keepLines/>
      <w:keepNext/>
      <w:spacing w:line="415" w:lineRule="auto"/>
      <w:outlineLvl w:val="1"/>
    </w:pPr>
    <w:rPr>
      <w:rFonts w:ascii="Arial" w:hAnsi="Arial" w:eastAsia="黑体"/>
      <w:b/>
      <w:sz w:val="32"/>
      <w:szCs w:val="32"/>
    </w:rPr>
  </w:style>
  <w:style w:type="numbering" w:styleId="13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陈玉忠（徐州分公司）</cp:lastModifiedBy>
  <cp:revision>36</cp:revision>
  <dcterms:created xsi:type="dcterms:W3CDTF">2023-07-07T04:13:00Z</dcterms:created>
  <dcterms:modified xsi:type="dcterms:W3CDTF">2026-03-30T01:30:05Z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2685ACB92CE647519D03CBDA603EA9F0_13</vt:lpwstr>
  </property>
  <property fmtid="{D5CDD505-2E9C-101B-9397-08002B2CF9AE}" pid="4" name="KSOTemplateDocerSaveRecord">
    <vt:lpwstr>eyJoZGlkIjoiOWM1N2Q2MTFhNDQzZGJhMjgxMzNmYTYwMmIzM2NlYzgiLCJ1c2VySWQiOiIzODE5MDA4MzEifQ==</vt:lpwstr>
  </property>
</Properties>
</file>